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1</w:t>
      </w:r>
      <w:r>
        <w:rPr>
          <w:rFonts w:hint="eastAsia"/>
          <w:lang w:val="en-US" w:eastAsia="zh-CN"/>
        </w:rPr>
        <w:t>184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eastAsia="zh-CN"/>
        </w:rPr>
        <w:t>X</w:t>
      </w:r>
      <w:r>
        <w:rPr>
          <w:rFonts w:hint="eastAsia"/>
          <w:lang w:val="en-US" w:eastAsia="zh-CN"/>
        </w:rPr>
        <w:t>XXX</w:t>
      </w:r>
      <w:r>
        <w:fldChar w:fldCharType="end"/>
      </w:r>
      <w:bookmarkEnd w:id="7"/>
    </w:p>
    <w:p>
      <w:pPr>
        <w:pStyle w:val="196"/>
        <w:rPr>
          <w:rFonts w:hint="eastAsia" w:hAnsi="黑体"/>
        </w:rPr>
      </w:pPr>
      <w:r>
        <w:rPr>
          <w:rFonts w:hint="eastAsia" w:hAnsi="黑体"/>
        </w:rPr>
        <w:fldChar w:fldCharType="begin">
          <w:ffData>
            <w:name w:val="OSTD_CODE"/>
            <w:enabled/>
            <w:calcOnExit w:val="0"/>
            <w:textInput/>
          </w:ffData>
        </w:fldChar>
      </w:r>
      <w:bookmarkStart w:id="8" w:name="OSTD_CODE"/>
      <w:r>
        <w:rPr>
          <w:rFonts w:hint="eastAsia" w:hAnsi="黑体"/>
        </w:rPr>
        <w:instrText xml:space="preserve"> </w:instrText>
      </w:r>
      <w:r>
        <w:rPr>
          <w:rFonts w:hAnsi="黑体"/>
        </w:rPr>
        <w:instrText xml:space="preserve">FORMTEXT</w:instrText>
      </w:r>
      <w:r>
        <w:rPr>
          <w:rFonts w:hint="eastAsia" w:hAnsi="黑体"/>
        </w:rPr>
        <w:instrText xml:space="preserve"> </w:instrText>
      </w:r>
      <w:r>
        <w:rPr>
          <w:rFonts w:hint="eastAsia" w:hAnsi="黑体"/>
        </w:rPr>
        <w:fldChar w:fldCharType="separate"/>
      </w:r>
      <w:r>
        <w:rPr>
          <w:rFonts w:hint="eastAsia" w:hAnsi="黑体"/>
        </w:rPr>
        <w:t>代替 DB14/T 1184-2016</w:t>
      </w:r>
      <w:r>
        <w:rPr>
          <w:rFonts w:hint="eastAsia"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苹果开心树形整形修剪技术规程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56232149"/>
      <w:bookmarkStart w:id="23" w:name="_Toc164153633"/>
      <w:bookmarkStart w:id="85" w:name="_GoBack"/>
      <w:bookmarkEnd w:id="85"/>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"_Toc164176249" </w:instrText>
      </w:r>
      <w:r>
        <w:fldChar w:fldCharType="separate"/>
      </w:r>
      <w:r>
        <w:rPr>
          <w:rStyle w:val="32"/>
        </w:rPr>
        <w:t>前言</w:t>
      </w:r>
      <w:r>
        <w:tab/>
      </w:r>
      <w:r>
        <w:fldChar w:fldCharType="begin"/>
      </w:r>
      <w:r>
        <w:instrText xml:space="preserve"> PAGEREF _Toc164176249 \h </w:instrText>
      </w:r>
      <w:r>
        <w:fldChar w:fldCharType="separate"/>
      </w:r>
      <w:r>
        <w:t>II</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"_Toc164176250" </w:instrText>
      </w:r>
      <w:r>
        <w:fldChar w:fldCharType="separate"/>
      </w:r>
      <w:r>
        <w:rPr>
          <w:rStyle w:val="32"/>
        </w:rPr>
        <w:t>1  范围</w:t>
      </w:r>
      <w:r>
        <w:tab/>
      </w:r>
      <w:r>
        <w:fldChar w:fldCharType="begin"/>
      </w:r>
      <w:r>
        <w:instrText xml:space="preserve"> PAGEREF _Toc164176250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"_Toc164176251" </w:instrText>
      </w:r>
      <w:r>
        <w:fldChar w:fldCharType="separate"/>
      </w:r>
      <w:r>
        <w:rPr>
          <w:rStyle w:val="32"/>
        </w:rPr>
        <w:t>2  规范性引用文件</w:t>
      </w:r>
      <w:r>
        <w:tab/>
      </w:r>
      <w:r>
        <w:fldChar w:fldCharType="begin"/>
      </w:r>
      <w:r>
        <w:instrText xml:space="preserve"> PAGEREF _Toc164176251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"_Toc164176252" </w:instrText>
      </w:r>
      <w:r>
        <w:fldChar w:fldCharType="separate"/>
      </w:r>
      <w:r>
        <w:rPr>
          <w:rStyle w:val="32"/>
        </w:rPr>
        <w:t>3  术语和定义</w:t>
      </w:r>
      <w:r>
        <w:tab/>
      </w:r>
      <w:r>
        <w:fldChar w:fldCharType="begin"/>
      </w:r>
      <w:r>
        <w:instrText xml:space="preserve"> PAGEREF _Toc164176252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"_Toc164176253" </w:instrText>
      </w:r>
      <w:r>
        <w:fldChar w:fldCharType="separate"/>
      </w:r>
      <w:r>
        <w:rPr>
          <w:rStyle w:val="32"/>
        </w:rPr>
        <w:t>4  适宜环境</w:t>
      </w:r>
      <w:r>
        <w:tab/>
      </w:r>
      <w:r>
        <w:fldChar w:fldCharType="begin"/>
      </w:r>
      <w:r>
        <w:instrText xml:space="preserve"> PAGEREF _Toc164176253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"_Toc164176254" </w:instrText>
      </w:r>
      <w:r>
        <w:fldChar w:fldCharType="separate"/>
      </w:r>
      <w:r>
        <w:rPr>
          <w:rStyle w:val="32"/>
        </w:rPr>
        <w:t>5  适宜对象</w:t>
      </w:r>
      <w:r>
        <w:tab/>
      </w:r>
      <w:r>
        <w:fldChar w:fldCharType="begin"/>
      </w:r>
      <w:r>
        <w:instrText xml:space="preserve"> PAGEREF _Toc164176254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"_Toc164176255" </w:instrText>
      </w:r>
      <w:r>
        <w:fldChar w:fldCharType="separate"/>
      </w:r>
      <w:r>
        <w:rPr>
          <w:rStyle w:val="32"/>
        </w:rPr>
        <w:t>6  幼树期整形修剪</w:t>
      </w:r>
      <w:r>
        <w:tab/>
      </w:r>
      <w:r>
        <w:fldChar w:fldCharType="begin"/>
      </w:r>
      <w:r>
        <w:instrText xml:space="preserve"> PAGEREF _Toc164176255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"_Toc164176256" </w:instrText>
      </w:r>
      <w:r>
        <w:fldChar w:fldCharType="separate"/>
      </w:r>
      <w:r>
        <w:rPr>
          <w:rStyle w:val="32"/>
        </w:rPr>
        <w:t>7  初果期整形修剪</w:t>
      </w:r>
      <w:r>
        <w:tab/>
      </w:r>
      <w:r>
        <w:fldChar w:fldCharType="begin"/>
      </w:r>
      <w:r>
        <w:instrText xml:space="preserve"> PAGEREF _Toc164176256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"_Toc164176257" </w:instrText>
      </w:r>
      <w:r>
        <w:fldChar w:fldCharType="separate"/>
      </w:r>
      <w:r>
        <w:rPr>
          <w:rStyle w:val="32"/>
        </w:rPr>
        <w:t>8  盛果期整形修剪</w:t>
      </w:r>
      <w:r>
        <w:tab/>
      </w:r>
      <w:r>
        <w:fldChar w:fldCharType="begin"/>
      </w:r>
      <w:r>
        <w:instrText xml:space="preserve"> PAGEREF _Toc164176257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"_Toc164176258" </w:instrText>
      </w:r>
      <w:r>
        <w:fldChar w:fldCharType="separate"/>
      </w:r>
      <w:r>
        <w:rPr>
          <w:rStyle w:val="32"/>
        </w:rPr>
        <w:t>9  盛果后期整形修剪</w:t>
      </w:r>
      <w:r>
        <w:tab/>
      </w:r>
      <w:r>
        <w:fldChar w:fldCharType="begin"/>
      </w:r>
      <w:r>
        <w:instrText xml:space="preserve"> PAGEREF _Toc164176258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"_Toc164176259" </w:instrText>
      </w:r>
      <w:r>
        <w:fldChar w:fldCharType="separate"/>
      </w:r>
      <w:r>
        <w:rPr>
          <w:rStyle w:val="32"/>
        </w:rPr>
        <w:t>10  生产档案</w:t>
      </w:r>
      <w:r>
        <w:tab/>
      </w:r>
      <w:r>
        <w:fldChar w:fldCharType="begin"/>
      </w:r>
      <w:r>
        <w:instrText xml:space="preserve"> PAGEREF _Toc164176259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"_Toc164176260" </w:instrText>
      </w:r>
      <w:r>
        <w:fldChar w:fldCharType="separate"/>
      </w:r>
      <w:r>
        <w:rPr>
          <w:rStyle w:val="32"/>
        </w:rPr>
        <w:t>附录A（资料性）  苹果开心树形适宜的优良品种</w:t>
      </w:r>
      <w:r>
        <w:tab/>
      </w:r>
      <w:r>
        <w:fldChar w:fldCharType="begin"/>
      </w:r>
      <w:r>
        <w:instrText xml:space="preserve"> PAGEREF _Toc164176260 \h </w:instrText>
      </w:r>
      <w:r>
        <w:fldChar w:fldCharType="separate"/>
      </w:r>
      <w:r>
        <w:t>5</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"_Toc164176261" </w:instrText>
      </w:r>
      <w:r>
        <w:fldChar w:fldCharType="separate"/>
      </w:r>
      <w:r>
        <w:rPr>
          <w:rStyle w:val="32"/>
        </w:rPr>
        <w:t xml:space="preserve">附录B（资料性）  </w:t>
      </w:r>
      <w:r>
        <w:rPr>
          <w:rStyle w:val="32"/>
          <w:kern w:val="21"/>
        </w:rPr>
        <w:t>苹果开心树形生产档案</w:t>
      </w:r>
      <w:r>
        <w:tab/>
      </w:r>
      <w:r>
        <w:fldChar w:fldCharType="begin"/>
      </w:r>
      <w:r>
        <w:instrText xml:space="preserve"> PAGEREF _Toc164176261 \h </w:instrText>
      </w:r>
      <w:r>
        <w:fldChar w:fldCharType="separate"/>
      </w:r>
      <w:r>
        <w:t>6</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4" w:name="_Toc164176249"/>
      <w:bookmarkStart w:id="25" w:name="BookMark2"/>
      <w:r>
        <w:rPr>
          <w:spacing w:val="320"/>
        </w:rPr>
        <w:t>前</w:t>
      </w:r>
      <w:r>
        <w:t>言</w:t>
      </w:r>
      <w:bookmarkEnd w:id="22"/>
      <w:bookmarkEnd w:id="23"/>
      <w:bookmarkEnd w:id="24"/>
    </w:p>
    <w:p>
      <w:pPr>
        <w:pStyle w:val="56"/>
        <w:ind w:firstLine="420"/>
        <w:rPr>
          <w:rFonts w:hint="eastAsia" w:hAnsi="宋体"/>
        </w:rPr>
      </w:pPr>
      <w:r>
        <w:rPr>
          <w:rFonts w:hint="eastAsia" w:hAnsi="宋体"/>
        </w:rPr>
        <w:t>本文件按照GB/T 1.1—2020《标准化工作导则  第1部分：标准化文件的结构和起草规则》的规定起草。</w:t>
      </w:r>
    </w:p>
    <w:p>
      <w:pPr>
        <w:pStyle w:val="230"/>
        <w:rPr>
          <w:rFonts w:hint="eastAsia" w:ascii="宋体" w:hAnsi="宋体"/>
        </w:rPr>
      </w:pPr>
      <w:r>
        <w:rPr>
          <w:rFonts w:hint="eastAsia" w:ascii="宋体" w:hAnsi="宋体"/>
        </w:rPr>
        <w:t>本文件代替DB</w:t>
      </w:r>
      <w:r>
        <w:rPr>
          <w:rFonts w:ascii="宋体" w:hAnsi="宋体"/>
        </w:rPr>
        <w:t>14</w:t>
      </w:r>
      <w:r>
        <w:rPr>
          <w:rFonts w:hint="eastAsia" w:ascii="宋体" w:hAnsi="宋体"/>
        </w:rPr>
        <w:t>/T</w:t>
      </w:r>
      <w:r>
        <w:rPr>
          <w:rFonts w:ascii="宋体" w:hAnsi="宋体"/>
        </w:rPr>
        <w:t>1184</w:t>
      </w:r>
      <w:r>
        <w:rPr>
          <w:rFonts w:hint="eastAsia" w:ascii="宋体" w:hAnsi="宋体"/>
        </w:rPr>
        <w:t>-</w:t>
      </w:r>
      <w:r>
        <w:rPr>
          <w:rFonts w:ascii="宋体" w:hAnsi="宋体"/>
        </w:rPr>
        <w:t>2016</w:t>
      </w:r>
      <w:r>
        <w:rPr>
          <w:rFonts w:hint="eastAsia" w:ascii="宋体" w:hAnsi="宋体"/>
        </w:rPr>
        <w:t>《苹果高光效开心树形生产技术规程》，与DB</w:t>
      </w:r>
      <w:r>
        <w:rPr>
          <w:rFonts w:ascii="宋体" w:hAnsi="宋体"/>
        </w:rPr>
        <w:t>14</w:t>
      </w:r>
      <w:r>
        <w:rPr>
          <w:rFonts w:hint="eastAsia" w:ascii="宋体" w:hAnsi="宋体"/>
        </w:rPr>
        <w:t xml:space="preserve">/T </w:t>
      </w:r>
      <w:r>
        <w:rPr>
          <w:rFonts w:ascii="宋体" w:hAnsi="宋体"/>
        </w:rPr>
        <w:t>1184</w:t>
      </w:r>
      <w:r>
        <w:rPr>
          <w:rFonts w:hint="eastAsia" w:ascii="宋体" w:hAnsi="宋体"/>
        </w:rPr>
        <w:t>-201</w:t>
      </w:r>
      <w:r>
        <w:rPr>
          <w:rFonts w:ascii="宋体" w:hAnsi="宋体"/>
        </w:rPr>
        <w:t>6</w:t>
      </w:r>
      <w:r>
        <w:rPr>
          <w:rFonts w:hint="eastAsia" w:ascii="宋体" w:hAnsi="宋体"/>
        </w:rPr>
        <w:t>相比，除结构调整和编辑性改动外，主要技术变化如下：</w:t>
      </w:r>
    </w:p>
    <w:p>
      <w:pPr>
        <w:pStyle w:val="230"/>
        <w:rPr>
          <w:rFonts w:hint="eastAsia" w:ascii="宋体" w:hAnsi="宋体"/>
        </w:rPr>
      </w:pPr>
      <w:r>
        <w:rPr>
          <w:rFonts w:hint="eastAsia" w:ascii="宋体" w:hAnsi="宋体"/>
        </w:rPr>
        <w:t>——标准名称修改为“苹果开心树形整形修剪技术规程”；（见标准名称，2016版“苹果高光效开心树形生产技术规程”）；</w:t>
      </w:r>
    </w:p>
    <w:p>
      <w:pPr>
        <w:pStyle w:val="230"/>
        <w:rPr>
          <w:rFonts w:hint="eastAsia" w:ascii="宋体" w:hAnsi="宋体"/>
        </w:rPr>
      </w:pPr>
      <w:r>
        <w:rPr>
          <w:rFonts w:hint="eastAsia" w:ascii="宋体" w:hAnsi="宋体"/>
        </w:rPr>
        <w:t>——删除了 “文件的术语和定义”中 “低干开心树形”、“中干开心树形”、“高干开心树形”、“提干”、“落头”的内容（见201</w:t>
      </w:r>
      <w:r>
        <w:rPr>
          <w:rFonts w:ascii="宋体" w:hAnsi="宋体"/>
        </w:rPr>
        <w:t>6</w:t>
      </w:r>
      <w:r>
        <w:rPr>
          <w:rFonts w:hint="eastAsia" w:ascii="宋体" w:hAnsi="宋体"/>
        </w:rPr>
        <w:t>版</w:t>
      </w:r>
      <w:r>
        <w:rPr>
          <w:rFonts w:hint="eastAsia" w:ascii="宋体" w:hAnsi="宋体"/>
          <w:lang w:val="en-US" w:eastAsia="zh-CN"/>
        </w:rPr>
        <w:t>3</w:t>
      </w:r>
      <w:r>
        <w:rPr>
          <w:rFonts w:hint="eastAsia" w:ascii="宋体" w:hAnsi="宋体"/>
        </w:rPr>
        <w:t>）；</w:t>
      </w:r>
    </w:p>
    <w:p>
      <w:pPr>
        <w:pStyle w:val="230"/>
        <w:rPr>
          <w:rFonts w:hint="eastAsia" w:ascii="宋体" w:hAnsi="宋体"/>
        </w:rPr>
      </w:pPr>
      <w:r>
        <w:rPr>
          <w:rFonts w:hint="eastAsia" w:ascii="宋体" w:hAnsi="宋体"/>
        </w:rPr>
        <w:t>——更改了 “文件的术语和定义”中“苹果开心树形”、“永久性主枝”、“长轴结果枝”、“侧生结果枝”的表述内容（见</w:t>
      </w:r>
      <w:r>
        <w:rPr>
          <w:rFonts w:hint="eastAsia" w:ascii="宋体" w:hAnsi="宋体"/>
          <w:lang w:val="en-US" w:eastAsia="zh-CN"/>
        </w:rPr>
        <w:t>3</w:t>
      </w:r>
      <w:r>
        <w:rPr>
          <w:rFonts w:hint="eastAsia" w:ascii="宋体" w:hAnsi="宋体"/>
        </w:rPr>
        <w:t>，201</w:t>
      </w:r>
      <w:r>
        <w:rPr>
          <w:rFonts w:ascii="宋体" w:hAnsi="宋体"/>
        </w:rPr>
        <w:t>6</w:t>
      </w:r>
      <w:r>
        <w:rPr>
          <w:rFonts w:hint="eastAsia" w:ascii="宋体" w:hAnsi="宋体"/>
        </w:rPr>
        <w:t>版</w:t>
      </w:r>
      <w:r>
        <w:rPr>
          <w:rFonts w:hint="eastAsia" w:ascii="宋体" w:hAnsi="宋体"/>
          <w:lang w:val="en-US" w:eastAsia="zh-CN"/>
        </w:rPr>
        <w:t>3</w:t>
      </w:r>
      <w:r>
        <w:rPr>
          <w:rFonts w:hint="eastAsia" w:ascii="宋体" w:hAnsi="宋体"/>
        </w:rPr>
        <w:t>）；</w:t>
      </w:r>
      <w:r>
        <w:rPr>
          <w:rFonts w:ascii="宋体" w:hAnsi="宋体"/>
        </w:rPr>
        <w:t xml:space="preserve"> </w:t>
      </w:r>
    </w:p>
    <w:p>
      <w:pPr>
        <w:pStyle w:val="230"/>
        <w:rPr>
          <w:rFonts w:hint="eastAsia" w:ascii="宋体" w:hAnsi="宋体"/>
        </w:rPr>
      </w:pPr>
      <w:r>
        <w:rPr>
          <w:rFonts w:hint="eastAsia" w:ascii="宋体" w:hAnsi="宋体"/>
        </w:rPr>
        <w:t>——更改 “出产地环境条件”为“适宜环境”；（见</w:t>
      </w:r>
      <w:r>
        <w:rPr>
          <w:rFonts w:hint="eastAsia" w:ascii="宋体" w:hAnsi="宋体"/>
          <w:lang w:val="en-US" w:eastAsia="zh-CN"/>
        </w:rPr>
        <w:t>4</w:t>
      </w:r>
      <w:r>
        <w:rPr>
          <w:rFonts w:hint="eastAsia" w:ascii="宋体" w:hAnsi="宋体"/>
        </w:rPr>
        <w:t>，2016版</w:t>
      </w:r>
      <w:r>
        <w:rPr>
          <w:rFonts w:hint="eastAsia" w:ascii="宋体" w:hAnsi="宋体"/>
          <w:lang w:val="en-US" w:eastAsia="zh-CN"/>
        </w:rPr>
        <w:t>4</w:t>
      </w:r>
      <w:r>
        <w:rPr>
          <w:rFonts w:hint="eastAsia" w:ascii="宋体" w:hAnsi="宋体"/>
        </w:rPr>
        <w:t>）；</w:t>
      </w:r>
    </w:p>
    <w:p>
      <w:pPr>
        <w:pStyle w:val="230"/>
        <w:rPr>
          <w:rFonts w:hint="eastAsia" w:ascii="宋体" w:hAnsi="宋体"/>
        </w:rPr>
      </w:pPr>
      <w:r>
        <w:rPr>
          <w:rFonts w:hint="eastAsia" w:ascii="宋体" w:hAnsi="宋体"/>
        </w:rPr>
        <w:t>——更改了 “幼树期整形修剪”中“短截修剪”的内容（见</w:t>
      </w:r>
      <w:r>
        <w:rPr>
          <w:rFonts w:ascii="宋体" w:hAnsi="宋体"/>
        </w:rPr>
        <w:t>6.2.1</w:t>
      </w:r>
      <w:r>
        <w:rPr>
          <w:rFonts w:hint="eastAsia" w:ascii="宋体" w:hAnsi="宋体"/>
        </w:rPr>
        <w:t>，2016版</w:t>
      </w:r>
      <w:r>
        <w:rPr>
          <w:rFonts w:ascii="宋体" w:hAnsi="宋体"/>
        </w:rPr>
        <w:t>6.2.1</w:t>
      </w:r>
      <w:r>
        <w:rPr>
          <w:rFonts w:hint="eastAsia" w:ascii="宋体" w:hAnsi="宋体"/>
        </w:rPr>
        <w:t>）；</w:t>
      </w:r>
    </w:p>
    <w:p>
      <w:pPr>
        <w:pStyle w:val="230"/>
        <w:rPr>
          <w:rFonts w:hint="eastAsia" w:ascii="宋体" w:hAnsi="宋体"/>
        </w:rPr>
      </w:pPr>
      <w:r>
        <w:rPr>
          <w:rFonts w:hint="eastAsia" w:ascii="宋体" w:hAnsi="宋体"/>
        </w:rPr>
        <w:t>——更改了 “初果期整形修剪”中“长轴结果枝的培养”的内容（见7.2.</w:t>
      </w:r>
      <w:r>
        <w:rPr>
          <w:rFonts w:ascii="宋体" w:hAnsi="宋体"/>
        </w:rPr>
        <w:t>4</w:t>
      </w:r>
      <w:r>
        <w:rPr>
          <w:rFonts w:hint="eastAsia" w:ascii="宋体" w:hAnsi="宋体"/>
        </w:rPr>
        <w:t>，2016版7.2.</w:t>
      </w:r>
      <w:r>
        <w:rPr>
          <w:rFonts w:ascii="宋体" w:hAnsi="宋体"/>
        </w:rPr>
        <w:t>4</w:t>
      </w:r>
      <w:r>
        <w:rPr>
          <w:rFonts w:hint="eastAsia" w:ascii="宋体" w:hAnsi="宋体"/>
        </w:rPr>
        <w:t>）；</w:t>
      </w:r>
    </w:p>
    <w:p>
      <w:pPr>
        <w:pStyle w:val="230"/>
        <w:rPr>
          <w:rFonts w:hint="eastAsia" w:ascii="宋体" w:hAnsi="宋体"/>
        </w:rPr>
      </w:pPr>
      <w:r>
        <w:rPr>
          <w:rFonts w:hint="eastAsia" w:ascii="宋体" w:hAnsi="宋体"/>
        </w:rPr>
        <w:t>——更改了“幼树期整形修剪”、“初果期整形修剪”、“盛果期整形修剪”、“盛果后期整形修剪”中“一般要求”表述内容（见6、7、8、9“一般要求”）；</w:t>
      </w:r>
    </w:p>
    <w:p>
      <w:pPr>
        <w:pStyle w:val="230"/>
        <w:rPr>
          <w:rFonts w:hint="eastAsia" w:ascii="宋体" w:hAnsi="宋体"/>
        </w:rPr>
      </w:pPr>
      <w:r>
        <w:rPr>
          <w:rFonts w:hint="eastAsia" w:ascii="宋体" w:hAnsi="宋体"/>
        </w:rPr>
        <w:t>——删除了 “花果管理”、“土肥管理”、“病虫害防治”“附录B”表B.2的内容（见2016版1</w:t>
      </w:r>
      <w:r>
        <w:rPr>
          <w:rFonts w:ascii="宋体" w:hAnsi="宋体"/>
        </w:rPr>
        <w:t>0</w:t>
      </w:r>
      <w:r>
        <w:rPr>
          <w:rFonts w:hint="eastAsia" w:ascii="宋体" w:hAnsi="宋体"/>
        </w:rPr>
        <w:t>、11、12、附录B）；</w:t>
      </w:r>
    </w:p>
    <w:p>
      <w:pPr>
        <w:widowControl/>
        <w:autoSpaceDE w:val="0"/>
        <w:autoSpaceDN w:val="0"/>
        <w:adjustRightInd/>
        <w:spacing w:line="240" w:lineRule="auto"/>
        <w:ind w:firstLine="420" w:firstLineChars="200"/>
        <w:rPr>
          <w:rFonts w:hint="eastAsia" w:ascii="宋体" w:hAnsi="宋体"/>
          <w:kern w:val="0"/>
        </w:rPr>
      </w:pPr>
      <w:r>
        <w:rPr>
          <w:rFonts w:hint="eastAsia" w:ascii="宋体" w:hAnsi="宋体"/>
          <w:kern w:val="0"/>
        </w:rPr>
        <w:t>本文件由山西省农业农村厅提出、组织实施和监督检查。</w:t>
      </w:r>
    </w:p>
    <w:p>
      <w:pPr>
        <w:widowControl/>
        <w:autoSpaceDE w:val="0"/>
        <w:autoSpaceDN w:val="0"/>
        <w:adjustRightInd/>
        <w:spacing w:line="240" w:lineRule="auto"/>
        <w:ind w:firstLine="420" w:firstLineChars="200"/>
        <w:rPr>
          <w:rFonts w:hint="eastAsia" w:ascii="宋体" w:hAnsi="宋体"/>
          <w:kern w:val="0"/>
        </w:rPr>
      </w:pPr>
      <w:r>
        <w:rPr>
          <w:rFonts w:hint="eastAsia" w:ascii="宋体" w:hAnsi="宋体"/>
          <w:kern w:val="0"/>
        </w:rPr>
        <w:t>山西省市场监督管理局对标准的组织实施情况进行监督检查。</w:t>
      </w:r>
    </w:p>
    <w:p>
      <w:pPr>
        <w:widowControl/>
        <w:autoSpaceDE w:val="0"/>
        <w:autoSpaceDN w:val="0"/>
        <w:adjustRightInd/>
        <w:spacing w:line="240" w:lineRule="auto"/>
        <w:ind w:firstLine="420" w:firstLineChars="200"/>
        <w:rPr>
          <w:rFonts w:hint="eastAsia" w:ascii="宋体" w:hAnsi="宋体"/>
          <w:kern w:val="0"/>
        </w:rPr>
      </w:pPr>
      <w:r>
        <w:rPr>
          <w:rFonts w:hint="eastAsia" w:ascii="宋体" w:hAnsi="宋体"/>
          <w:kern w:val="0"/>
        </w:rPr>
        <w:t>本文件由山西省农业标准化技术委员会（SXS/TC19）归口。</w:t>
      </w:r>
    </w:p>
    <w:p>
      <w:pPr>
        <w:widowControl/>
        <w:autoSpaceDE w:val="0"/>
        <w:autoSpaceDN w:val="0"/>
        <w:adjustRightInd/>
        <w:spacing w:line="240" w:lineRule="auto"/>
        <w:ind w:firstLine="420" w:firstLineChars="200"/>
        <w:rPr>
          <w:rFonts w:hint="eastAsia" w:ascii="宋体" w:hAnsi="宋体"/>
          <w:kern w:val="0"/>
        </w:rPr>
      </w:pPr>
      <w:r>
        <w:rPr>
          <w:rFonts w:hint="eastAsia" w:ascii="宋体" w:hAnsi="宋体"/>
          <w:kern w:val="0"/>
        </w:rPr>
        <w:t>本文件起草单位：山西农业大学。</w:t>
      </w:r>
    </w:p>
    <w:p>
      <w:pPr>
        <w:widowControl/>
        <w:adjustRightInd/>
        <w:spacing w:line="240" w:lineRule="auto"/>
        <w:ind w:firstLine="420" w:firstLineChars="200"/>
        <w:rPr>
          <w:rFonts w:hint="eastAsia" w:ascii="宋体" w:hAnsi="宋体" w:cs="Calibri"/>
        </w:rPr>
      </w:pPr>
      <w:r>
        <w:rPr>
          <w:rFonts w:hint="eastAsia" w:ascii="宋体" w:hAnsi="宋体" w:cs="Calibri"/>
        </w:rPr>
        <w:t>本文件主要起草人：蔚露、牛自勉、闫万丽、李志强、谢鹏。</w:t>
      </w:r>
    </w:p>
    <w:p>
      <w:pPr>
        <w:pStyle w:val="56"/>
        <w:ind w:firstLine="420"/>
        <w:rPr>
          <w:rFonts w:hint="eastAsia" w:hAnsi="宋体"/>
          <w:szCs w:val="21"/>
        </w:rPr>
      </w:pPr>
      <w:r>
        <w:rPr>
          <w:rFonts w:hint="eastAsia" w:hAnsi="宋体"/>
        </w:rPr>
        <w:t>本文件及其所代替文件的历次版本发布情况为：</w:t>
      </w:r>
    </w:p>
    <w:p>
      <w:pPr>
        <w:pStyle w:val="231"/>
        <w:rPr>
          <w:rFonts w:hint="eastAsia"/>
        </w:rPr>
      </w:pPr>
      <w:r>
        <w:rPr>
          <w:rFonts w:hint="eastAsia"/>
        </w:rPr>
        <w:t>——201</w:t>
      </w:r>
      <w:r>
        <w:t>6</w:t>
      </w:r>
      <w:r>
        <w:rPr>
          <w:rFonts w:hint="eastAsia"/>
        </w:rPr>
        <w:t>年首次发布为DB</w:t>
      </w:r>
      <w:r>
        <w:t>14</w:t>
      </w:r>
      <w:r>
        <w:rPr>
          <w:rFonts w:hint="eastAsia"/>
        </w:rPr>
        <w:t>/T</w:t>
      </w:r>
      <w:r>
        <w:t>1184</w:t>
      </w:r>
      <w:r>
        <w:rPr>
          <w:rFonts w:hint="eastAsia"/>
        </w:rPr>
        <w:t>-</w:t>
      </w:r>
      <w:r>
        <w:t>2016</w:t>
      </w:r>
      <w:r>
        <w:rPr>
          <w:rFonts w:hint="eastAsia"/>
        </w:rPr>
        <w:t>。</w:t>
      </w:r>
    </w:p>
    <w:p>
      <w:pPr>
        <w:pStyle w:val="230"/>
        <w:rPr>
          <w:rFonts w:hint="eastAsia" w:ascii="宋体" w:hAnsi="宋体"/>
        </w:rPr>
        <w:sectPr>
          <w:pgSz w:w="11906" w:h="16838"/>
          <w:pgMar w:top="1928" w:right="1134" w:bottom="1134" w:left="1134" w:header="1418" w:footer="1134" w:gutter="284"/>
          <w:pgNumType w:fmt="upperRoman"/>
          <w:cols w:space="425" w:num="1"/>
          <w:formProt w:val="0"/>
          <w:docGrid w:type="lines" w:linePitch="312" w:charSpace="0"/>
        </w:sectPr>
      </w:pPr>
      <w:r>
        <w:rPr>
          <w:rFonts w:hint="eastAsia" w:ascii="宋体" w:hAnsi="宋体"/>
        </w:rPr>
        <w:t>——本次为第一次修订。</w:t>
      </w:r>
    </w:p>
    <w:bookmarkEnd w:id="25"/>
    <w:p>
      <w:pPr>
        <w:spacing w:line="20" w:lineRule="exact"/>
        <w:jc w:val="center"/>
        <w:rPr>
          <w:rFonts w:hint="eastAsia" w:ascii="黑体" w:hAnsi="黑体" w:eastAsia="黑体"/>
          <w:sz w:val="32"/>
          <w:szCs w:val="32"/>
        </w:rPr>
      </w:pPr>
      <w:bookmarkStart w:id="26"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CF7E08C163D24B97BE9F6A95E98B9F33"/>
        </w:placeholder>
      </w:sdtPr>
      <w:sdtContent>
        <w:p>
          <w:pPr>
            <w:pStyle w:val="177"/>
            <w:spacing w:before="3" w:beforeLines="1" w:after="686" w:afterLines="220"/>
            <w:rPr>
              <w:rFonts w:hint="eastAsia"/>
            </w:rPr>
          </w:pPr>
          <w:bookmarkStart w:id="27" w:name="NEW_STAND_NAME"/>
          <w:r>
            <w:rPr>
              <w:rFonts w:hint="eastAsia"/>
            </w:rPr>
            <w:t>苹果开心树形整形修剪技术规程</w:t>
          </w:r>
        </w:p>
      </w:sdtContent>
    </w:sdt>
    <w:bookmarkEnd w:id="27"/>
    <w:p>
      <w:pPr>
        <w:pStyle w:val="104"/>
        <w:spacing w:before="312" w:after="312"/>
      </w:pPr>
      <w:bookmarkStart w:id="28" w:name="_Toc24884218"/>
      <w:bookmarkStart w:id="29" w:name="_Toc17233333"/>
      <w:bookmarkStart w:id="30" w:name="_Toc26986771"/>
      <w:bookmarkStart w:id="31" w:name="_Toc17233325"/>
      <w:bookmarkStart w:id="32" w:name="_Toc164176250"/>
      <w:bookmarkStart w:id="33" w:name="_Toc26718930"/>
      <w:bookmarkStart w:id="34" w:name="_Toc26986530"/>
      <w:bookmarkStart w:id="35" w:name="_Toc97191423"/>
      <w:bookmarkStart w:id="36" w:name="_Toc164153634"/>
      <w:bookmarkStart w:id="37" w:name="_Toc156232150"/>
      <w:bookmarkStart w:id="38" w:name="_Toc26648465"/>
      <w:bookmarkStart w:id="39" w:name="_Toc24884211"/>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pPr>
        <w:pStyle w:val="56"/>
        <w:ind w:firstLine="420"/>
      </w:pPr>
      <w:bookmarkStart w:id="40" w:name="_Toc24884212"/>
      <w:bookmarkStart w:id="41" w:name="_Toc26648466"/>
      <w:bookmarkStart w:id="42" w:name="_Toc17233334"/>
      <w:bookmarkStart w:id="43" w:name="_Toc24884219"/>
      <w:bookmarkStart w:id="44" w:name="_Toc17233326"/>
      <w:r>
        <w:rPr>
          <w:rFonts w:hint="eastAsia"/>
        </w:rPr>
        <w:t>本文件规定了苹果高光效开心树形生产相关的术语和定义、适宜环境、适宜对象、幼树期整形修剪、初果期整形修剪、盛果期整形修剪、盛果后期整形修剪、生产档案的技术内容。</w:t>
      </w:r>
    </w:p>
    <w:p>
      <w:pPr>
        <w:pStyle w:val="56"/>
        <w:ind w:firstLine="420"/>
      </w:pPr>
      <w:r>
        <w:rPr>
          <w:rFonts w:hint="eastAsia"/>
        </w:rPr>
        <w:t>本文件适用于山西主产区乔化苹果整形修剪与果园树形改造。</w:t>
      </w:r>
    </w:p>
    <w:p>
      <w:pPr>
        <w:pStyle w:val="104"/>
        <w:spacing w:before="312" w:after="312"/>
      </w:pPr>
      <w:bookmarkStart w:id="45" w:name="_Toc26718931"/>
      <w:bookmarkStart w:id="46" w:name="_Toc97191424"/>
      <w:bookmarkStart w:id="47" w:name="_Toc26986772"/>
      <w:bookmarkStart w:id="48" w:name="_Toc164153635"/>
      <w:bookmarkStart w:id="49" w:name="_Toc164176251"/>
      <w:bookmarkStart w:id="50" w:name="_Toc26986531"/>
      <w:bookmarkStart w:id="51" w:name="_Toc156232151"/>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90FC5014FBE44E51AE96612BBA5BCA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rPr>
          <w:rFonts w:hint="eastAsia"/>
        </w:rPr>
      </w:pPr>
      <w:r>
        <w:t>NY/T 441</w:t>
      </w:r>
      <w:r>
        <w:rPr>
          <w:rFonts w:hint="eastAsia"/>
        </w:rPr>
        <w:t xml:space="preserve">  </w:t>
      </w:r>
      <w:r>
        <w:t>苹果生产技术规程</w:t>
      </w:r>
    </w:p>
    <w:p>
      <w:pPr>
        <w:pStyle w:val="231"/>
        <w:rPr>
          <w:rFonts w:hint="eastAsia"/>
        </w:rPr>
      </w:pPr>
      <w:r>
        <w:t xml:space="preserve">NY/T </w:t>
      </w:r>
      <w:r>
        <w:rPr>
          <w:rFonts w:hint="eastAsia"/>
        </w:rPr>
        <w:t>1082  黄土高原苹果生产技术规程</w:t>
      </w:r>
    </w:p>
    <w:p>
      <w:pPr>
        <w:pStyle w:val="104"/>
        <w:spacing w:before="312" w:after="312"/>
      </w:pPr>
      <w:bookmarkStart w:id="52" w:name="_Toc97191425"/>
      <w:bookmarkStart w:id="53" w:name="_Toc164176252"/>
      <w:bookmarkStart w:id="54" w:name="_Toc164153636"/>
      <w:bookmarkStart w:id="55" w:name="_Toc156232152"/>
      <w:r>
        <w:rPr>
          <w:rFonts w:hint="eastAsia"/>
          <w:szCs w:val="21"/>
        </w:rPr>
        <w:t>术语和定义</w:t>
      </w:r>
      <w:bookmarkEnd w:id="52"/>
      <w:bookmarkEnd w:id="53"/>
      <w:bookmarkEnd w:id="54"/>
      <w:bookmarkEnd w:id="55"/>
    </w:p>
    <w:sdt>
      <w:sdtPr>
        <w:id w:val="-1909835108"/>
        <w:placeholder>
          <w:docPart w:val="C2F30EFDCBE74C2F9EBC825C9FEB053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6" w:name="_Toc26986532"/>
          <w:bookmarkEnd w:id="56"/>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苹果开心树形</w:t>
      </w:r>
    </w:p>
    <w:p>
      <w:pPr>
        <w:pStyle w:val="56"/>
        <w:ind w:firstLine="420"/>
      </w:pPr>
      <w:r>
        <w:rPr>
          <w:rFonts w:hint="eastAsia"/>
        </w:rPr>
        <w:t>乔化苹果树整形修剪过程中通过分阶段提干、落头、选留永久主枝等技术操作之后，最终形成的单层水平叶幕的苹果树形。</w:t>
      </w:r>
    </w:p>
    <w:p>
      <w:pPr>
        <w:pStyle w:val="105"/>
        <w:spacing w:before="156" w:after="156"/>
      </w:pPr>
      <w:r>
        <w:rPr>
          <w:rFonts w:hint="eastAsia"/>
        </w:rPr>
        <w:t>永久性主枝</w:t>
      </w:r>
    </w:p>
    <w:p>
      <w:pPr>
        <w:pStyle w:val="56"/>
        <w:ind w:firstLine="420"/>
      </w:pPr>
      <w:r>
        <w:rPr>
          <w:rFonts w:hint="eastAsia"/>
        </w:rPr>
        <w:t>开心树形培养过程中，起支撑水平叶幕的永久性骨干枝。该主枝由中心干上健壮营养枝培养而成，并随枝龄增加逐渐分化出侧生结果枝和长轴结果枝。</w:t>
      </w:r>
    </w:p>
    <w:p>
      <w:pPr>
        <w:pStyle w:val="105"/>
        <w:spacing w:before="156" w:after="156"/>
      </w:pPr>
      <w:r>
        <w:rPr>
          <w:rFonts w:hint="eastAsia"/>
        </w:rPr>
        <w:t>侧生结果枝</w:t>
      </w:r>
    </w:p>
    <w:p>
      <w:pPr>
        <w:pStyle w:val="56"/>
        <w:ind w:firstLine="420"/>
      </w:pPr>
      <w:r>
        <w:rPr>
          <w:rFonts w:hint="eastAsia"/>
        </w:rPr>
        <w:t>在永久性主枝两侧着生，起到扩大主枝横向结果体积的大型枝组。</w:t>
      </w:r>
    </w:p>
    <w:p>
      <w:pPr>
        <w:pStyle w:val="105"/>
        <w:spacing w:before="156" w:after="156"/>
      </w:pPr>
      <w:r>
        <w:rPr>
          <w:rFonts w:hint="eastAsia"/>
        </w:rPr>
        <w:t>长轴结果枝</w:t>
      </w:r>
    </w:p>
    <w:p>
      <w:pPr>
        <w:pStyle w:val="56"/>
        <w:ind w:firstLine="420"/>
      </w:pPr>
      <w:r>
        <w:rPr>
          <w:rFonts w:hint="eastAsia"/>
        </w:rPr>
        <w:t>在永久性主枝及侧生枝上直接着生，经多年连续缓放培养形成的单轴延伸下垂结果枝组。</w:t>
      </w:r>
    </w:p>
    <w:p>
      <w:pPr>
        <w:pStyle w:val="104"/>
        <w:spacing w:before="312" w:after="312"/>
      </w:pPr>
      <w:bookmarkStart w:id="57" w:name="_Toc164153637"/>
      <w:bookmarkStart w:id="58" w:name="_Toc164176253"/>
      <w:r>
        <w:rPr>
          <w:rFonts w:hint="eastAsia"/>
        </w:rPr>
        <w:t>适宜环境</w:t>
      </w:r>
      <w:bookmarkEnd w:id="57"/>
      <w:bookmarkEnd w:id="58"/>
    </w:p>
    <w:p>
      <w:pPr>
        <w:pStyle w:val="56"/>
        <w:ind w:firstLine="420"/>
      </w:pPr>
      <w:r>
        <w:rPr>
          <w:rFonts w:hint="eastAsia"/>
        </w:rPr>
        <w:t>果园年平均气温8.5 ℃～13.5 ℃，果园立地一般为丘陵坡地、台地、垣面或梯田。其它环境条件参照NY/T 441、NY/T 1082规定执行。</w:t>
      </w:r>
    </w:p>
    <w:p>
      <w:pPr>
        <w:pStyle w:val="104"/>
        <w:spacing w:before="312" w:after="312"/>
      </w:pPr>
      <w:bookmarkStart w:id="59" w:name="_Toc164176254"/>
      <w:bookmarkStart w:id="60" w:name="_Toc156232154"/>
      <w:bookmarkStart w:id="61" w:name="_Toc164153638"/>
      <w:r>
        <w:rPr>
          <w:rFonts w:hint="eastAsia"/>
        </w:rPr>
        <w:t>适宜对象</w:t>
      </w:r>
      <w:bookmarkEnd w:id="59"/>
      <w:bookmarkEnd w:id="60"/>
      <w:bookmarkEnd w:id="61"/>
    </w:p>
    <w:p>
      <w:pPr>
        <w:pStyle w:val="105"/>
        <w:spacing w:before="156" w:after="156"/>
      </w:pPr>
      <w:r>
        <w:rPr>
          <w:rFonts w:hint="eastAsia"/>
        </w:rPr>
        <w:t>砧木类型</w:t>
      </w:r>
    </w:p>
    <w:p>
      <w:pPr>
        <w:pStyle w:val="56"/>
        <w:ind w:firstLine="420"/>
      </w:pPr>
      <w:r>
        <w:rPr>
          <w:rFonts w:hint="eastAsia"/>
        </w:rPr>
        <w:t>适宜的苹果砧木为乔化类型，抗逆适应性强。</w:t>
      </w:r>
    </w:p>
    <w:p>
      <w:pPr>
        <w:pStyle w:val="56"/>
        <w:ind w:firstLine="420"/>
      </w:pPr>
      <w:r>
        <w:rPr>
          <w:rFonts w:hint="eastAsia"/>
        </w:rPr>
        <w:t>山西省中南部丘陵台地苹果园，适宜的砧木如包括八棱海棠、武乡海棠、山丁子、林檎等类型；山西省中北部丘陵坡地，适宜砧木如山丁子、保德海红等类型。</w:t>
      </w:r>
    </w:p>
    <w:p>
      <w:pPr>
        <w:pStyle w:val="105"/>
        <w:spacing w:before="156" w:after="156"/>
      </w:pPr>
      <w:r>
        <w:rPr>
          <w:rFonts w:hint="eastAsia"/>
        </w:rPr>
        <w:t>品种</w:t>
      </w:r>
    </w:p>
    <w:p>
      <w:pPr>
        <w:pStyle w:val="56"/>
        <w:ind w:firstLine="420"/>
      </w:pPr>
      <w:r>
        <w:rPr>
          <w:rFonts w:hint="eastAsia"/>
        </w:rPr>
        <w:t>适宜的苹果品种为乔化长枝型品种，要求苹果品种枝条柔软，结果后能够自然下垂并形成长轴结果枝体系。</w:t>
      </w:r>
    </w:p>
    <w:p>
      <w:pPr>
        <w:pStyle w:val="56"/>
        <w:ind w:firstLine="420"/>
      </w:pPr>
      <w:r>
        <w:rPr>
          <w:rFonts w:hint="eastAsia"/>
        </w:rPr>
        <w:t>山西省中南部苹果产区适宜的苹果优良品种，如富士系、金冠系、凉香系、嘎拉系等，山西省中北部苹果产区适宜的苹果优良品种，如寒富、金冠系、凉香系、嘎拉系等，具体品种见附录A。</w:t>
      </w:r>
    </w:p>
    <w:p>
      <w:pPr>
        <w:pStyle w:val="104"/>
        <w:spacing w:before="312" w:after="312"/>
      </w:pPr>
      <w:bookmarkStart w:id="62" w:name="_Toc156232155"/>
      <w:bookmarkStart w:id="63" w:name="_Toc164176255"/>
      <w:bookmarkStart w:id="64" w:name="_Toc164153639"/>
      <w:r>
        <w:rPr>
          <w:rFonts w:hint="eastAsia"/>
        </w:rPr>
        <w:t>幼树期整形修剪</w:t>
      </w:r>
      <w:bookmarkEnd w:id="62"/>
      <w:bookmarkEnd w:id="63"/>
      <w:bookmarkEnd w:id="64"/>
    </w:p>
    <w:p>
      <w:pPr>
        <w:pStyle w:val="105"/>
        <w:spacing w:before="156" w:after="156"/>
      </w:pPr>
      <w:r>
        <w:rPr>
          <w:rFonts w:hint="eastAsia"/>
        </w:rPr>
        <w:t>一般要求</w:t>
      </w:r>
    </w:p>
    <w:p>
      <w:pPr>
        <w:pStyle w:val="56"/>
        <w:ind w:firstLine="420"/>
      </w:pPr>
      <w:r>
        <w:rPr>
          <w:rFonts w:hint="eastAsia"/>
        </w:rPr>
        <w:t>该阶段苹果树为直立叶幕，采用小冠分层树形或自由纺锤树形模式。整形修剪时一方面需要促进树冠生长发育，采用短接、拉枝等方法促进骨干枝发育和树体扩冠；同时对骨干枝以外的辅养枝，通过拉枝缓放修剪，促进树体提早结果。</w:t>
      </w:r>
    </w:p>
    <w:p>
      <w:pPr>
        <w:pStyle w:val="105"/>
        <w:spacing w:before="156" w:after="156"/>
      </w:pPr>
      <w:r>
        <w:rPr>
          <w:rFonts w:hint="eastAsia"/>
        </w:rPr>
        <w:t>整形修剪技术</w:t>
      </w:r>
    </w:p>
    <w:p>
      <w:pPr>
        <w:pStyle w:val="65"/>
        <w:spacing w:before="156" w:after="156"/>
      </w:pPr>
      <w:r>
        <w:rPr>
          <w:rFonts w:hint="eastAsia"/>
        </w:rPr>
        <w:t>骨干枝培养</w:t>
      </w:r>
    </w:p>
    <w:p>
      <w:pPr>
        <w:pStyle w:val="56"/>
        <w:ind w:firstLine="420"/>
      </w:pPr>
      <w:r>
        <w:rPr>
          <w:rFonts w:hint="eastAsia"/>
        </w:rPr>
        <w:t>休眠期修剪期间每年在中心干饱满芽处中度短截，并萌芽后疏除中心枝条的竞争枝。生长季修剪期间，在中心干上部50 cm～60 cm整形带内，每年选留2～3个长枝作为骨干枝的预备枝培养。</w:t>
      </w:r>
    </w:p>
    <w:p>
      <w:pPr>
        <w:pStyle w:val="65"/>
        <w:spacing w:before="156" w:after="156"/>
      </w:pPr>
      <w:r>
        <w:rPr>
          <w:rFonts w:hint="eastAsia"/>
        </w:rPr>
        <w:t>拉枝整形</w:t>
      </w:r>
    </w:p>
    <w:p>
      <w:pPr>
        <w:pStyle w:val="56"/>
        <w:ind w:firstLine="420"/>
      </w:pPr>
      <w:r>
        <w:rPr>
          <w:rFonts w:hint="eastAsia"/>
        </w:rPr>
        <w:t>骨干枝的预备枝，第一年生长期或休眠期进行拉枝，基角50°～60°；第二年后腰角60°～70°，根据树体发育状况在生长期或休眠期拉枝扩冠。</w:t>
      </w:r>
    </w:p>
    <w:p>
      <w:pPr>
        <w:pStyle w:val="65"/>
        <w:spacing w:before="156" w:after="156"/>
      </w:pPr>
      <w:r>
        <w:rPr>
          <w:rFonts w:hint="eastAsia"/>
        </w:rPr>
        <w:t>辅养枝处理</w:t>
      </w:r>
    </w:p>
    <w:p>
      <w:pPr>
        <w:pStyle w:val="56"/>
        <w:ind w:firstLine="420"/>
      </w:pPr>
      <w:r>
        <w:rPr>
          <w:rFonts w:hint="eastAsia"/>
        </w:rPr>
        <w:t>骨干枝以外的枝条均为辅养枝，采用的水平拉枝、拿枝，开张角度90°～100°，采用摘心、掐顶等技术促进枝条及早成花结果。</w:t>
      </w:r>
    </w:p>
    <w:p>
      <w:pPr>
        <w:pStyle w:val="104"/>
        <w:spacing w:before="312" w:after="312"/>
      </w:pPr>
      <w:bookmarkStart w:id="65" w:name="_Toc156232156"/>
      <w:bookmarkStart w:id="66" w:name="_Toc164153640"/>
      <w:bookmarkStart w:id="67" w:name="_Toc164176256"/>
      <w:r>
        <w:rPr>
          <w:rFonts w:hint="eastAsia"/>
        </w:rPr>
        <w:t>初果期整形修剪</w:t>
      </w:r>
      <w:bookmarkEnd w:id="65"/>
      <w:bookmarkEnd w:id="66"/>
      <w:bookmarkEnd w:id="67"/>
    </w:p>
    <w:p>
      <w:pPr>
        <w:pStyle w:val="105"/>
        <w:spacing w:before="156" w:after="156"/>
      </w:pPr>
      <w:r>
        <w:rPr>
          <w:rFonts w:hint="eastAsia"/>
        </w:rPr>
        <w:t>一般要求</w:t>
      </w:r>
    </w:p>
    <w:p>
      <w:pPr>
        <w:pStyle w:val="56"/>
        <w:ind w:firstLine="420"/>
      </w:pPr>
      <w:r>
        <w:rPr>
          <w:rFonts w:hint="eastAsia"/>
        </w:rPr>
        <w:t>该期树形为开心树形的过渡树形，也是苹果树形转变与开始结果个关键时期。期间主要通过提干、落头形修剪技术实施减少骨干枝数量、降低树体高度，树形逐步由直立叶幕向水平叶幕演变。同时，骨干枝上的结果枝也逐步由短果枝向长轴结果转变。</w:t>
      </w:r>
    </w:p>
    <w:p>
      <w:pPr>
        <w:pStyle w:val="105"/>
        <w:spacing w:before="156" w:after="156"/>
      </w:pPr>
      <w:r>
        <w:rPr>
          <w:rFonts w:hint="eastAsia"/>
        </w:rPr>
        <w:t>整形修剪技术</w:t>
      </w:r>
    </w:p>
    <w:p>
      <w:pPr>
        <w:pStyle w:val="65"/>
        <w:spacing w:before="156" w:after="156"/>
      </w:pPr>
      <w:r>
        <w:rPr>
          <w:rFonts w:hint="eastAsia"/>
        </w:rPr>
        <w:t>第一期提干</w:t>
      </w:r>
    </w:p>
    <w:p>
      <w:pPr>
        <w:pStyle w:val="56"/>
        <w:ind w:firstLine="420"/>
      </w:pPr>
      <w:r>
        <w:rPr>
          <w:rFonts w:hint="eastAsia"/>
        </w:rPr>
        <w:t>树龄6～8年生时开始第一期提干，从基部第一个骨干枝处开始，一次性锯掉过低骨干枝，根据不同模式树形对干高的要求，到该期结束时干高达到1.2 m～1.5 m。</w:t>
      </w:r>
    </w:p>
    <w:p>
      <w:pPr>
        <w:pStyle w:val="56"/>
        <w:ind w:firstLine="420"/>
      </w:pPr>
      <w:r>
        <w:rPr>
          <w:rFonts w:hint="eastAsia"/>
        </w:rPr>
        <w:t>提干分年度进行。通常一年在中心干上完整疏除1～2个骨干枝，每年的疏枝量不应超过全树总枝量的三分之一。</w:t>
      </w:r>
    </w:p>
    <w:p>
      <w:pPr>
        <w:pStyle w:val="65"/>
        <w:spacing w:before="156" w:after="156"/>
      </w:pPr>
      <w:r>
        <w:rPr>
          <w:rFonts w:hint="eastAsia"/>
        </w:rPr>
        <w:t>第一期落头</w:t>
      </w:r>
    </w:p>
    <w:p>
      <w:pPr>
        <w:pStyle w:val="56"/>
        <w:ind w:firstLine="420"/>
      </w:pPr>
      <w:r>
        <w:rPr>
          <w:rFonts w:hint="eastAsia"/>
        </w:rPr>
        <w:t>树龄6～8年生时开始第一期落头，从顶部第一个骨干枝处开始，一次性锯掉过高骨干枝，根据不同模式树形对树高的要求，到该期结束时树高达到3.5 m～4 m。</w:t>
      </w:r>
    </w:p>
    <w:p>
      <w:pPr>
        <w:pStyle w:val="56"/>
        <w:ind w:firstLine="420"/>
      </w:pPr>
      <w:r>
        <w:rPr>
          <w:rFonts w:hint="eastAsia"/>
        </w:rPr>
        <w:t>落头分年度进行。通常一年在中心干顶部完整疏除1～2个骨干枝，间隔1～2年落头处理。</w:t>
      </w:r>
    </w:p>
    <w:p>
      <w:pPr>
        <w:pStyle w:val="65"/>
        <w:spacing w:before="156" w:after="156"/>
      </w:pPr>
      <w:r>
        <w:rPr>
          <w:rFonts w:hint="eastAsia"/>
        </w:rPr>
        <w:t>扇形主枝的培养</w:t>
      </w:r>
    </w:p>
    <w:p>
      <w:pPr>
        <w:pStyle w:val="56"/>
        <w:ind w:firstLine="420"/>
      </w:pPr>
      <w:r>
        <w:rPr>
          <w:rFonts w:hint="eastAsia"/>
        </w:rPr>
        <w:t>提干、落头后，全树通常保留4～5个主枝。主枝向外纵向延伸，在两侧每隔40 cm～50 cm选留一个大型侧生结果枝，每个主枝选留4～6个侧生结果枝。</w:t>
      </w:r>
    </w:p>
    <w:p>
      <w:pPr>
        <w:pStyle w:val="65"/>
        <w:spacing w:before="156" w:after="156"/>
      </w:pPr>
      <w:r>
        <w:rPr>
          <w:rFonts w:hint="eastAsia"/>
        </w:rPr>
        <w:t>长轴结果枝的培养</w:t>
      </w:r>
    </w:p>
    <w:p>
      <w:pPr>
        <w:pStyle w:val="56"/>
        <w:ind w:firstLine="420"/>
      </w:pPr>
      <w:r>
        <w:rPr>
          <w:rFonts w:hint="eastAsia"/>
        </w:rPr>
        <w:t>每年在主枝、侧生结果枝背上部位选留斜生、健壮的营养枝，通过3～4年连续甩放培养形成新的长轴结果枝。已经结果的长轴结果枝通常短截、回缩修剪，通过果台副梢不断延伸结果枝的长度，长度100 cm～150 cm。</w:t>
      </w:r>
      <w:r>
        <w:t xml:space="preserve"> </w:t>
      </w:r>
    </w:p>
    <w:p>
      <w:pPr>
        <w:pStyle w:val="105"/>
        <w:spacing w:before="156" w:after="156"/>
      </w:pPr>
      <w:r>
        <w:rPr>
          <w:rFonts w:hint="eastAsia"/>
        </w:rPr>
        <w:t>间伐方法</w:t>
      </w:r>
    </w:p>
    <w:p>
      <w:pPr>
        <w:pStyle w:val="56"/>
        <w:ind w:firstLine="420"/>
      </w:pPr>
      <w:r>
        <w:rPr>
          <w:rFonts w:hint="eastAsia"/>
        </w:rPr>
        <w:t>采用隔株或隔行间伐技术降低密度，隔株间伐：株距5 m～6 m，行距3.5 m～4 m。隔行间伐：行距7 m～8 m，株距3.5 m～4 m。</w:t>
      </w:r>
    </w:p>
    <w:p>
      <w:pPr>
        <w:pStyle w:val="104"/>
        <w:spacing w:before="312" w:after="312"/>
      </w:pPr>
      <w:bookmarkStart w:id="68" w:name="_Toc164153641"/>
      <w:bookmarkStart w:id="69" w:name="_Toc156232157"/>
      <w:bookmarkStart w:id="70" w:name="_Toc164176257"/>
      <w:r>
        <w:rPr>
          <w:rFonts w:hint="eastAsia"/>
        </w:rPr>
        <w:t>盛果期整形修剪</w:t>
      </w:r>
      <w:bookmarkEnd w:id="68"/>
      <w:bookmarkEnd w:id="69"/>
      <w:bookmarkEnd w:id="70"/>
    </w:p>
    <w:p>
      <w:pPr>
        <w:pStyle w:val="105"/>
        <w:spacing w:before="156" w:after="156"/>
      </w:pPr>
      <w:r>
        <w:rPr>
          <w:rFonts w:hint="eastAsia"/>
        </w:rPr>
        <w:t>一般要求</w:t>
      </w:r>
    </w:p>
    <w:p>
      <w:pPr>
        <w:pStyle w:val="56"/>
        <w:ind w:firstLine="420"/>
      </w:pPr>
      <w:r>
        <w:rPr>
          <w:rFonts w:hint="eastAsia"/>
        </w:rPr>
        <w:t>该期为单层水平叶幕构建时期，永久性主枝一般保留3～4个。整形修剪时既要通过临时性主枝的逐步疏除培养结构完整的永久性主枝，又要通过缓放与拉枝培养长轴结果枝体系，同时通过果园动态间伐技术实施改善果园和叶幕通风透光条件。</w:t>
      </w:r>
    </w:p>
    <w:p>
      <w:pPr>
        <w:pStyle w:val="105"/>
        <w:spacing w:before="156" w:after="156"/>
      </w:pPr>
      <w:r>
        <w:rPr>
          <w:rFonts w:hint="eastAsia"/>
        </w:rPr>
        <w:t>整形修剪技术</w:t>
      </w:r>
    </w:p>
    <w:p>
      <w:pPr>
        <w:pStyle w:val="65"/>
        <w:spacing w:before="156" w:after="156"/>
      </w:pPr>
      <w:r>
        <w:rPr>
          <w:rFonts w:hint="eastAsia"/>
        </w:rPr>
        <w:t>第二期提干落头</w:t>
      </w:r>
    </w:p>
    <w:p>
      <w:pPr>
        <w:pStyle w:val="56"/>
        <w:ind w:left="210" w:leftChars="100" w:firstLine="210" w:firstLineChars="100"/>
      </w:pPr>
      <w:r>
        <w:rPr>
          <w:rFonts w:hint="eastAsia"/>
        </w:rPr>
        <w:t>树龄11～15年生期间进行第二期提干落头，在第一期基础上分年度进行，到该期结束干高达到1.5 m～1.8 m，树高达到3.2 m～3.5 m。</w:t>
      </w:r>
    </w:p>
    <w:p>
      <w:pPr>
        <w:pStyle w:val="65"/>
        <w:spacing w:before="156" w:after="156"/>
      </w:pPr>
      <w:r>
        <w:rPr>
          <w:rFonts w:hint="eastAsia"/>
        </w:rPr>
        <w:t>永久性主枝的培养</w:t>
      </w:r>
    </w:p>
    <w:p>
      <w:pPr>
        <w:pStyle w:val="56"/>
        <w:ind w:firstLine="420"/>
      </w:pPr>
      <w:r>
        <w:rPr>
          <w:rFonts w:hint="eastAsia"/>
        </w:rPr>
        <w:t>通过逐步疏除临时性主枝，每株树最终保留3～4个永久性主枝，形成单层水平叶幕。</w:t>
      </w:r>
    </w:p>
    <w:p>
      <w:pPr>
        <w:pStyle w:val="56"/>
        <w:ind w:firstLine="420"/>
      </w:pPr>
      <w:r>
        <w:rPr>
          <w:rFonts w:hint="eastAsia"/>
        </w:rPr>
        <w:t>永久性主枝为扇形结构，每个主枝保留4～6个侧生结果枝，并在侧生结果枝上进一步选留长轴结果枝。</w:t>
      </w:r>
    </w:p>
    <w:p>
      <w:pPr>
        <w:pStyle w:val="65"/>
        <w:spacing w:before="156" w:after="156"/>
      </w:pPr>
      <w:r>
        <w:rPr>
          <w:rFonts w:hint="eastAsia"/>
        </w:rPr>
        <w:t>长轴结果枝体系的培育</w:t>
      </w:r>
    </w:p>
    <w:p>
      <w:pPr>
        <w:pStyle w:val="56"/>
        <w:ind w:firstLine="420"/>
      </w:pPr>
      <w:r>
        <w:rPr>
          <w:rFonts w:hint="eastAsia"/>
        </w:rPr>
        <w:t>长轴结果枝按照“大中小搭配合理、上中下错落有序”的原则排布，一个纵向延伸的发育枝带头，斜向分布若干大中小型结果枝组，形成下垂的结果枝体系。</w:t>
      </w:r>
    </w:p>
    <w:p>
      <w:pPr>
        <w:pStyle w:val="56"/>
        <w:ind w:firstLine="420"/>
      </w:pPr>
      <w:r>
        <w:rPr>
          <w:rFonts w:hint="eastAsia"/>
        </w:rPr>
        <w:t>长轴结果枝通过果台枝延伸与“疏短留长”修剪维持长轴结果枝的长势，连续结果6～10年，其后疏除更新，由新的背上枝结果枝代替。</w:t>
      </w:r>
    </w:p>
    <w:p>
      <w:pPr>
        <w:pStyle w:val="105"/>
        <w:spacing w:before="156" w:after="156"/>
      </w:pPr>
      <w:r>
        <w:rPr>
          <w:rFonts w:hint="eastAsia"/>
        </w:rPr>
        <w:t xml:space="preserve">间伐方法 </w:t>
      </w:r>
    </w:p>
    <w:p>
      <w:pPr>
        <w:pStyle w:val="56"/>
        <w:ind w:firstLine="420"/>
      </w:pPr>
      <w:r>
        <w:rPr>
          <w:rFonts w:hint="eastAsia"/>
        </w:rPr>
        <w:t>采用隔行或隔株间伐降低果园密度。海拔600 m以下的低海拔果园：株距6 m～7 m，行距7 m～9 m；海拔600 m以上的高海拔果园：株距5 m～6 m，行距7 m～8 m。</w:t>
      </w:r>
    </w:p>
    <w:p>
      <w:pPr>
        <w:pStyle w:val="104"/>
        <w:spacing w:before="312" w:after="312"/>
      </w:pPr>
      <w:bookmarkStart w:id="71" w:name="_Toc164153642"/>
      <w:bookmarkStart w:id="72" w:name="_Toc156232158"/>
      <w:bookmarkStart w:id="73" w:name="_Toc164176258"/>
      <w:r>
        <w:rPr>
          <w:rFonts w:hint="eastAsia"/>
        </w:rPr>
        <w:t>盛果后期整形修剪</w:t>
      </w:r>
      <w:bookmarkEnd w:id="71"/>
      <w:bookmarkEnd w:id="72"/>
      <w:bookmarkEnd w:id="73"/>
    </w:p>
    <w:p>
      <w:pPr>
        <w:pStyle w:val="105"/>
        <w:spacing w:before="156" w:after="156"/>
      </w:pPr>
      <w:r>
        <w:rPr>
          <w:rFonts w:hint="eastAsia"/>
        </w:rPr>
        <w:t>一般要求</w:t>
      </w:r>
    </w:p>
    <w:p>
      <w:pPr>
        <w:pStyle w:val="56"/>
        <w:ind w:firstLine="420"/>
      </w:pPr>
      <w:r>
        <w:rPr>
          <w:rFonts w:hint="eastAsia"/>
        </w:rPr>
        <w:t>该期为水平叶幕的稳定建立与高效结果阶段，整形修剪时通过局部疏枝减少果园郁闭，不断调整果园整体通风透光条件，同时通过长轴结果枝组的精细修剪与更新复壮，维持长轴结果枝组体系，稳定产量，延长果园结果时期。</w:t>
      </w:r>
    </w:p>
    <w:p>
      <w:pPr>
        <w:pStyle w:val="105"/>
        <w:spacing w:before="156" w:after="156"/>
      </w:pPr>
      <w:r>
        <w:rPr>
          <w:rFonts w:hint="eastAsia"/>
        </w:rPr>
        <w:t>整形修剪技术</w:t>
      </w:r>
    </w:p>
    <w:p>
      <w:pPr>
        <w:pStyle w:val="65"/>
        <w:spacing w:before="156" w:after="156"/>
      </w:pPr>
      <w:r>
        <w:rPr>
          <w:rFonts w:hint="eastAsia"/>
        </w:rPr>
        <w:t>树形结构的布局调整</w:t>
      </w:r>
    </w:p>
    <w:p>
      <w:pPr>
        <w:pStyle w:val="56"/>
        <w:ind w:firstLine="420"/>
      </w:pPr>
      <w:r>
        <w:rPr>
          <w:rFonts w:hint="eastAsia"/>
        </w:rPr>
        <w:t>维持主枝相对稳定的空间范围，培养新的延长枝，需在主枝中前部选择比较健旺的背上枝组，逐步扩大枝组范围，培养新的延长枝。主枝延长枝的交替周期为6～10年，通过延长枝交替生长维持树冠体积的相对稳定。</w:t>
      </w:r>
    </w:p>
    <w:p>
      <w:pPr>
        <w:pStyle w:val="56"/>
        <w:ind w:firstLine="420"/>
      </w:pPr>
      <w:r>
        <w:rPr>
          <w:rFonts w:hint="eastAsia"/>
        </w:rPr>
        <w:t>树体大量结果后在主枝下部设立支柱，抬高主枝的腰角或稍角（80°左右），稳定树势及产量。</w:t>
      </w:r>
    </w:p>
    <w:p>
      <w:pPr>
        <w:pStyle w:val="65"/>
        <w:spacing w:before="156" w:after="156"/>
      </w:pPr>
      <w:r>
        <w:rPr>
          <w:rFonts w:hint="eastAsia"/>
        </w:rPr>
        <w:t>结果枝组的精细修剪</w:t>
      </w:r>
    </w:p>
    <w:p>
      <w:pPr>
        <w:pStyle w:val="56"/>
        <w:ind w:firstLine="420"/>
      </w:pPr>
      <w:r>
        <w:rPr>
          <w:rFonts w:hint="eastAsia"/>
        </w:rPr>
        <w:t>枝组生长势较强时，疏强枝、疏大枝，保留中庸枝结果。枝组延长枝通常不需回缩，不短截，以稳定树势。</w:t>
      </w:r>
    </w:p>
    <w:p>
      <w:pPr>
        <w:pStyle w:val="56"/>
        <w:ind w:firstLine="420"/>
      </w:pPr>
      <w:r>
        <w:rPr>
          <w:rFonts w:hint="eastAsia"/>
        </w:rPr>
        <w:t>枝组生长势中庸时，可适度疏枝，通常多疏弱枝。对枝组延长枝基本不回缩，少短截，以稳定树势，形成优质果实。</w:t>
      </w:r>
    </w:p>
    <w:p>
      <w:pPr>
        <w:pStyle w:val="56"/>
        <w:ind w:firstLine="420"/>
      </w:pPr>
      <w:r>
        <w:rPr>
          <w:rFonts w:hint="eastAsia"/>
        </w:rPr>
        <w:t>枝组生长势较弱时，应多疏枝，疏弱枝，枝组营养集中分配，恢复长势。修剪后枝组长势仍然偏弱，可疏除临近的大枝，以集中营养，恢复树势。枝组空间缺枝时，可短截部分营养枝。</w:t>
      </w:r>
    </w:p>
    <w:p>
      <w:pPr>
        <w:pStyle w:val="65"/>
        <w:spacing w:before="156" w:after="156"/>
      </w:pPr>
      <w:r>
        <w:rPr>
          <w:rFonts w:hint="eastAsia"/>
        </w:rPr>
        <w:t>永久性主枝修剪</w:t>
      </w:r>
    </w:p>
    <w:p>
      <w:pPr>
        <w:pStyle w:val="56"/>
        <w:ind w:firstLine="420"/>
      </w:pPr>
      <w:r>
        <w:rPr>
          <w:rFonts w:hint="eastAsia"/>
        </w:rPr>
        <w:t>休眠期修剪时可根据树体空间透光条件选择性疏除主枝，全树最终保留2～3个永久性主枝，每个永久性主枝上保留3～4个大型侧生结果枝。侧生结果枝分为上位枝和下位枝培养修剪，在主枝上错落排列。</w:t>
      </w:r>
    </w:p>
    <w:p>
      <w:pPr>
        <w:pStyle w:val="104"/>
        <w:spacing w:before="312" w:after="312"/>
      </w:pPr>
      <w:bookmarkStart w:id="74" w:name="_Toc156232159"/>
      <w:bookmarkStart w:id="75" w:name="_Toc164153643"/>
      <w:bookmarkStart w:id="76" w:name="_Toc164176259"/>
      <w:r>
        <w:rPr>
          <w:rFonts w:hint="eastAsia"/>
        </w:rPr>
        <w:t>生产档案</w:t>
      </w:r>
      <w:bookmarkEnd w:id="74"/>
      <w:bookmarkEnd w:id="75"/>
      <w:bookmarkEnd w:id="76"/>
    </w:p>
    <w:p>
      <w:pPr>
        <w:pStyle w:val="56"/>
        <w:ind w:firstLine="420"/>
      </w:pPr>
      <w:r>
        <w:rPr>
          <w:rFonts w:hint="eastAsia"/>
        </w:rPr>
        <w:t>建立苹果开心树形整形修剪生产档案，档案长期保存，具体内容见附录B。</w:t>
      </w: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6"/>
    <w:p>
      <w:pPr>
        <w:pStyle w:val="198"/>
        <w:rPr>
          <w:rFonts w:hint="eastAsia"/>
          <w:vanish w:val="0"/>
        </w:rPr>
      </w:pPr>
      <w:bookmarkStart w:id="77" w:name="BookMark5"/>
    </w:p>
    <w:p>
      <w:pPr>
        <w:pStyle w:val="199"/>
        <w:rPr>
          <w:vanish w:val="0"/>
        </w:rPr>
      </w:pPr>
    </w:p>
    <w:p>
      <w:pPr>
        <w:pStyle w:val="76"/>
        <w:spacing w:after="156"/>
      </w:pPr>
      <w:r>
        <w:br w:type="textWrapping"/>
      </w:r>
      <w:bookmarkStart w:id="78" w:name="_Toc164176260"/>
      <w:bookmarkStart w:id="79" w:name="_Toc164153644"/>
      <w:bookmarkStart w:id="80" w:name="_Toc156232160"/>
      <w:r>
        <w:rPr>
          <w:rFonts w:hint="eastAsia"/>
        </w:rPr>
        <w:t>（资料性）</w:t>
      </w:r>
      <w:r>
        <w:br w:type="textWrapping"/>
      </w:r>
      <w:r>
        <w:rPr>
          <w:rFonts w:hint="eastAsia"/>
        </w:rPr>
        <w:t>苹果开心树形适宜的优良品种</w:t>
      </w:r>
      <w:bookmarkEnd w:id="78"/>
      <w:bookmarkEnd w:id="79"/>
      <w:bookmarkEnd w:id="80"/>
    </w:p>
    <w:p>
      <w:pPr>
        <w:pStyle w:val="56"/>
        <w:ind w:firstLine="420"/>
      </w:pPr>
      <w:r>
        <w:rPr>
          <w:rFonts w:hint="eastAsia"/>
        </w:rPr>
        <w:t>着色富士系：长富2号、秋富1号、宫藤富士、晋富1～4号，烟富1～6号、红将军等。</w:t>
      </w:r>
    </w:p>
    <w:p>
      <w:pPr>
        <w:pStyle w:val="56"/>
        <w:ind w:firstLine="420"/>
      </w:pPr>
      <w:r>
        <w:rPr>
          <w:rFonts w:hint="eastAsia"/>
        </w:rPr>
        <w:t>嘎拉系：皇家嘎拉、太平洋嘎拉、丽嘎、烟噶3号等。</w:t>
      </w:r>
    </w:p>
    <w:p>
      <w:pPr>
        <w:pStyle w:val="56"/>
        <w:ind w:firstLine="420"/>
      </w:pPr>
      <w:r>
        <w:rPr>
          <w:rFonts w:hint="eastAsia"/>
        </w:rPr>
        <w:t>金冠系：金冠、无锈金冠、丰帅等。</w:t>
      </w:r>
    </w:p>
    <w:p>
      <w:pPr>
        <w:pStyle w:val="56"/>
        <w:ind w:firstLine="420"/>
      </w:pPr>
      <w:r>
        <w:rPr>
          <w:rFonts w:hint="eastAsia"/>
        </w:rPr>
        <w:t>其它苹果品种：新凉香、乔纳金、美国8号、藤木1号、夏红、秦冠等。</w:t>
      </w:r>
    </w:p>
    <w:p>
      <w:pPr>
        <w:pStyle w:val="56"/>
        <w:ind w:firstLine="0" w:firstLineChars="0"/>
        <w:sectPr>
          <w:pgSz w:w="11906" w:h="16838"/>
          <w:pgMar w:top="1928" w:right="1134" w:bottom="1134" w:left="1134" w:header="1418" w:footer="1134" w:gutter="284"/>
          <w:cols w:space="425" w:num="1"/>
          <w:formProt w:val="0"/>
          <w:docGrid w:type="lines" w:linePitch="312" w:charSpace="0"/>
        </w:sectPr>
      </w:pPr>
    </w:p>
    <w:p>
      <w:pPr>
        <w:pStyle w:val="198"/>
        <w:rPr>
          <w:rFonts w:hint="eastAsia"/>
          <w:vanish w:val="0"/>
        </w:rPr>
      </w:pPr>
    </w:p>
    <w:p>
      <w:pPr>
        <w:pStyle w:val="199"/>
        <w:rPr>
          <w:vanish w:val="0"/>
        </w:rPr>
      </w:pPr>
    </w:p>
    <w:p>
      <w:pPr>
        <w:pStyle w:val="76"/>
        <w:spacing w:after="156"/>
      </w:pPr>
      <w:r>
        <w:br w:type="textWrapping"/>
      </w:r>
      <w:bookmarkStart w:id="81" w:name="_Toc156232161"/>
      <w:bookmarkStart w:id="82" w:name="_Toc164153645"/>
      <w:bookmarkStart w:id="83" w:name="_Toc164176261"/>
      <w:r>
        <w:rPr>
          <w:rFonts w:hint="eastAsia"/>
        </w:rPr>
        <w:t>（资料性）</w:t>
      </w:r>
      <w:r>
        <w:br w:type="textWrapping"/>
      </w:r>
      <w:r>
        <w:rPr>
          <w:rFonts w:hint="eastAsia"/>
          <w:kern w:val="21"/>
        </w:rPr>
        <w:t>苹果开心树形生产档案</w:t>
      </w:r>
      <w:bookmarkEnd w:id="81"/>
      <w:bookmarkEnd w:id="82"/>
      <w:bookmarkEnd w:id="83"/>
    </w:p>
    <w:p>
      <w:pPr>
        <w:pStyle w:val="231"/>
        <w:ind w:firstLine="0" w:firstLineChars="0"/>
        <w:rPr>
          <w:rFonts w:hint="eastAsia" w:ascii="Times New Roman"/>
        </w:rPr>
      </w:pPr>
      <w:r>
        <w:rPr>
          <w:rFonts w:ascii="Times New Roman"/>
        </w:rPr>
        <w:t>苹果开心树形整形修剪生产记录见表B.1。</w:t>
      </w:r>
    </w:p>
    <w:p>
      <w:pPr>
        <w:pStyle w:val="235"/>
        <w:numPr>
          <w:ilvl w:val="0"/>
          <w:numId w:val="0"/>
        </w:numPr>
        <w:spacing w:before="156" w:after="156"/>
        <w:jc w:val="center"/>
        <w:rPr>
          <w:color w:val="000000"/>
        </w:rPr>
      </w:pPr>
      <w:r>
        <w:rPr>
          <w:rFonts w:hint="eastAsia"/>
          <w:color w:val="000000"/>
        </w:rPr>
        <w:t>表B.1  苹果开心树形整形修剪生产记录表</w:t>
      </w:r>
    </w:p>
    <w:p>
      <w:pPr>
        <w:pStyle w:val="231"/>
        <w:ind w:firstLine="0" w:firstLineChars="0"/>
        <w:rPr>
          <w:rFonts w:hint="eastAsia"/>
          <w:color w:val="FF0000"/>
        </w:rPr>
      </w:pPr>
      <w:r>
        <w:rPr>
          <w:rFonts w:hint="eastAsia"/>
        </w:rPr>
        <w:t>种植农户：        种植面积：         果园地点：       定植年份：         修剪年份：</w:t>
      </w:r>
    </w:p>
    <w:tbl>
      <w:tblPr>
        <w:tblStyle w:val="26"/>
        <w:tblW w:w="107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43"/>
        <w:gridCol w:w="320"/>
        <w:gridCol w:w="320"/>
        <w:gridCol w:w="320"/>
        <w:gridCol w:w="320"/>
        <w:gridCol w:w="320"/>
        <w:gridCol w:w="320"/>
        <w:gridCol w:w="320"/>
        <w:gridCol w:w="321"/>
        <w:gridCol w:w="320"/>
        <w:gridCol w:w="320"/>
        <w:gridCol w:w="321"/>
        <w:gridCol w:w="321"/>
        <w:gridCol w:w="321"/>
        <w:gridCol w:w="321"/>
        <w:gridCol w:w="322"/>
        <w:gridCol w:w="323"/>
        <w:gridCol w:w="322"/>
        <w:gridCol w:w="322"/>
        <w:gridCol w:w="322"/>
        <w:gridCol w:w="322"/>
        <w:gridCol w:w="322"/>
        <w:gridCol w:w="322"/>
        <w:gridCol w:w="322"/>
        <w:gridCol w:w="323"/>
        <w:gridCol w:w="322"/>
        <w:gridCol w:w="322"/>
        <w:gridCol w:w="322"/>
        <w:gridCol w:w="322"/>
        <w:gridCol w:w="322"/>
        <w:gridCol w:w="322"/>
        <w:gridCol w:w="322"/>
        <w:gridCol w:w="319"/>
        <w:gridCol w:w="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wAfter w:w="16" w:type="dxa"/>
          <w:trHeight w:val="663" w:hRule="atLeast"/>
          <w:jc w:val="center"/>
        </w:trPr>
        <w:tc>
          <w:tcPr>
            <w:tcW w:w="443" w:type="dxa"/>
            <w:vMerge w:val="restart"/>
            <w:vAlign w:val="center"/>
          </w:tcPr>
          <w:p>
            <w:pPr>
              <w:jc w:val="center"/>
              <w:rPr>
                <w:rFonts w:hint="eastAsia" w:ascii="宋体" w:hAnsi="宋体"/>
              </w:rPr>
            </w:pPr>
            <w:r>
              <w:rPr>
                <w:rFonts w:hint="eastAsia" w:ascii="宋体" w:hAnsi="宋体"/>
                <w:color w:val="000000"/>
              </w:rPr>
              <w:t>记录日期</w:t>
            </w:r>
          </w:p>
        </w:tc>
        <w:tc>
          <w:tcPr>
            <w:tcW w:w="2561" w:type="dxa"/>
            <w:gridSpan w:val="8"/>
            <w:vAlign w:val="center"/>
          </w:tcPr>
          <w:p>
            <w:pPr>
              <w:jc w:val="center"/>
              <w:rPr>
                <w:rFonts w:hint="eastAsia" w:ascii="宋体" w:hAnsi="宋体"/>
              </w:rPr>
            </w:pPr>
            <w:r>
              <w:rPr>
                <w:rFonts w:hint="eastAsia" w:ascii="宋体" w:hAnsi="宋体"/>
                <w:color w:val="000000"/>
              </w:rPr>
              <w:t>幼果期整形修剪</w:t>
            </w:r>
          </w:p>
        </w:tc>
        <w:tc>
          <w:tcPr>
            <w:tcW w:w="2569" w:type="dxa"/>
            <w:gridSpan w:val="8"/>
            <w:vAlign w:val="center"/>
          </w:tcPr>
          <w:p>
            <w:pPr>
              <w:jc w:val="center"/>
              <w:rPr>
                <w:rFonts w:hint="eastAsia" w:ascii="宋体" w:hAnsi="宋体"/>
              </w:rPr>
            </w:pPr>
            <w:r>
              <w:rPr>
                <w:rFonts w:hint="eastAsia" w:ascii="宋体" w:hAnsi="宋体"/>
                <w:color w:val="000000"/>
              </w:rPr>
              <w:t>初果期整形修剪</w:t>
            </w:r>
          </w:p>
        </w:tc>
        <w:tc>
          <w:tcPr>
            <w:tcW w:w="2577" w:type="dxa"/>
            <w:gridSpan w:val="8"/>
            <w:vAlign w:val="center"/>
          </w:tcPr>
          <w:p>
            <w:pPr>
              <w:jc w:val="center"/>
              <w:rPr>
                <w:rFonts w:hint="eastAsia" w:ascii="宋体" w:hAnsi="宋体"/>
              </w:rPr>
            </w:pPr>
            <w:r>
              <w:rPr>
                <w:rFonts w:hint="eastAsia" w:ascii="宋体" w:hAnsi="宋体"/>
                <w:color w:val="000000"/>
              </w:rPr>
              <w:t>盛果期整形修剪</w:t>
            </w:r>
          </w:p>
        </w:tc>
        <w:tc>
          <w:tcPr>
            <w:tcW w:w="2573" w:type="dxa"/>
            <w:gridSpan w:val="8"/>
            <w:vAlign w:val="center"/>
          </w:tcPr>
          <w:p>
            <w:pPr>
              <w:jc w:val="center"/>
              <w:rPr>
                <w:rFonts w:hint="eastAsia" w:ascii="宋体" w:hAnsi="宋体"/>
              </w:rPr>
            </w:pPr>
            <w:r>
              <w:rPr>
                <w:rFonts w:hint="eastAsia" w:ascii="宋体" w:hAnsi="宋体"/>
                <w:color w:val="000000"/>
              </w:rPr>
              <w:t>盛果后期整形修剪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14" w:hRule="atLeast"/>
          <w:jc w:val="center"/>
        </w:trPr>
        <w:tc>
          <w:tcPr>
            <w:tcW w:w="443" w:type="dxa"/>
            <w:vMerge w:val="continue"/>
            <w:vAlign w:val="center"/>
          </w:tcPr>
          <w:p>
            <w:pPr>
              <w:jc w:val="center"/>
              <w:rPr>
                <w:rFonts w:hint="eastAsia" w:ascii="宋体" w:hAnsi="宋体"/>
                <w:sz w:val="18"/>
                <w:szCs w:val="18"/>
              </w:rPr>
            </w:pP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树形类型</w:t>
            </w: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树干高度</w:t>
            </w: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主枝数量</w:t>
            </w: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侧生枝数量</w:t>
            </w: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结果枝长度</w:t>
            </w: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整形方法</w:t>
            </w: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修剪方法</w:t>
            </w:r>
          </w:p>
        </w:tc>
        <w:tc>
          <w:tcPr>
            <w:tcW w:w="321"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全树总枝量</w:t>
            </w: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树形类型</w:t>
            </w:r>
          </w:p>
        </w:tc>
        <w:tc>
          <w:tcPr>
            <w:tcW w:w="320"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树干高度</w:t>
            </w:r>
          </w:p>
        </w:tc>
        <w:tc>
          <w:tcPr>
            <w:tcW w:w="321"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主枝数量</w:t>
            </w:r>
          </w:p>
        </w:tc>
        <w:tc>
          <w:tcPr>
            <w:tcW w:w="321"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侧生枝数量</w:t>
            </w:r>
          </w:p>
        </w:tc>
        <w:tc>
          <w:tcPr>
            <w:tcW w:w="321"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结果枝长度</w:t>
            </w:r>
          </w:p>
        </w:tc>
        <w:tc>
          <w:tcPr>
            <w:tcW w:w="321"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整形方法</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修剪方法</w:t>
            </w:r>
          </w:p>
        </w:tc>
        <w:tc>
          <w:tcPr>
            <w:tcW w:w="323"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全树总枝量</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树形类型</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树干高度</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主枝数量</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侧生枝数量</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结果枝长度</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整形方法</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修剪方法</w:t>
            </w:r>
          </w:p>
        </w:tc>
        <w:tc>
          <w:tcPr>
            <w:tcW w:w="323"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全树总枝量</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树形类型</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树干高度</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主枝数量</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侧生枝数量</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结果枝长度</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整形方法</w:t>
            </w:r>
          </w:p>
        </w:tc>
        <w:tc>
          <w:tcPr>
            <w:tcW w:w="322" w:type="dxa"/>
          </w:tcPr>
          <w:p>
            <w:pPr>
              <w:pStyle w:val="231"/>
              <w:spacing w:before="156" w:after="156" w:line="240" w:lineRule="exact"/>
              <w:ind w:firstLine="0" w:firstLineChars="0"/>
              <w:rPr>
                <w:rFonts w:hint="eastAsia"/>
                <w:color w:val="000000"/>
                <w:sz w:val="18"/>
                <w:szCs w:val="18"/>
              </w:rPr>
            </w:pPr>
            <w:r>
              <w:rPr>
                <w:rFonts w:hint="eastAsia"/>
                <w:color w:val="000000"/>
                <w:sz w:val="18"/>
                <w:szCs w:val="18"/>
              </w:rPr>
              <w:t>修剪方法</w:t>
            </w:r>
          </w:p>
        </w:tc>
        <w:tc>
          <w:tcPr>
            <w:tcW w:w="335" w:type="dxa"/>
            <w:gridSpan w:val="2"/>
          </w:tcPr>
          <w:p>
            <w:pPr>
              <w:pStyle w:val="231"/>
              <w:spacing w:before="156" w:after="156" w:line="240" w:lineRule="exact"/>
              <w:ind w:firstLine="0" w:firstLineChars="0"/>
              <w:rPr>
                <w:rFonts w:hint="eastAsia"/>
                <w:color w:val="000000"/>
                <w:sz w:val="18"/>
                <w:szCs w:val="18"/>
              </w:rPr>
            </w:pPr>
            <w:r>
              <w:rPr>
                <w:rFonts w:hint="eastAsia"/>
                <w:color w:val="000000"/>
                <w:sz w:val="18"/>
                <w:szCs w:val="18"/>
              </w:rPr>
              <w:t>全树总枝量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67" w:hRule="atLeast"/>
          <w:jc w:val="center"/>
        </w:trPr>
        <w:tc>
          <w:tcPr>
            <w:tcW w:w="443"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1"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2" w:type="dxa"/>
          </w:tcPr>
          <w:p>
            <w:pPr>
              <w:rPr>
                <w:rFonts w:hint="eastAsia" w:ascii="宋体" w:hAnsi="宋体"/>
                <w:sz w:val="24"/>
              </w:rPr>
            </w:pPr>
          </w:p>
        </w:tc>
        <w:tc>
          <w:tcPr>
            <w:tcW w:w="323"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3"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35" w:type="dxa"/>
            <w:gridSpan w:val="2"/>
          </w:tcPr>
          <w:p>
            <w:pPr>
              <w:rPr>
                <w:rFonts w:ascii="宋体"/>
                <w:sz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45" w:hRule="atLeast"/>
          <w:jc w:val="center"/>
        </w:trPr>
        <w:tc>
          <w:tcPr>
            <w:tcW w:w="443"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1"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2" w:type="dxa"/>
          </w:tcPr>
          <w:p>
            <w:pPr>
              <w:rPr>
                <w:rFonts w:hint="eastAsia" w:ascii="宋体" w:hAnsi="宋体"/>
                <w:sz w:val="24"/>
              </w:rPr>
            </w:pPr>
          </w:p>
        </w:tc>
        <w:tc>
          <w:tcPr>
            <w:tcW w:w="323"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3"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35" w:type="dxa"/>
            <w:gridSpan w:val="2"/>
          </w:tcPr>
          <w:p>
            <w:pPr>
              <w:rPr>
                <w:rFonts w:ascii="宋体"/>
                <w:sz w:val="1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45" w:hRule="atLeast"/>
          <w:jc w:val="center"/>
        </w:trPr>
        <w:tc>
          <w:tcPr>
            <w:tcW w:w="443"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1" w:type="dxa"/>
          </w:tcPr>
          <w:p>
            <w:pPr>
              <w:rPr>
                <w:rFonts w:hint="eastAsia" w:ascii="宋体" w:hAnsi="宋体"/>
                <w:sz w:val="24"/>
              </w:rPr>
            </w:pPr>
          </w:p>
        </w:tc>
        <w:tc>
          <w:tcPr>
            <w:tcW w:w="320" w:type="dxa"/>
          </w:tcPr>
          <w:p>
            <w:pPr>
              <w:rPr>
                <w:rFonts w:hint="eastAsia" w:ascii="宋体" w:hAnsi="宋体"/>
                <w:sz w:val="24"/>
              </w:rPr>
            </w:pPr>
          </w:p>
        </w:tc>
        <w:tc>
          <w:tcPr>
            <w:tcW w:w="320"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1" w:type="dxa"/>
          </w:tcPr>
          <w:p>
            <w:pPr>
              <w:rPr>
                <w:rFonts w:hint="eastAsia" w:ascii="宋体" w:hAnsi="宋体"/>
                <w:sz w:val="24"/>
              </w:rPr>
            </w:pPr>
          </w:p>
        </w:tc>
        <w:tc>
          <w:tcPr>
            <w:tcW w:w="322" w:type="dxa"/>
          </w:tcPr>
          <w:p>
            <w:pPr>
              <w:rPr>
                <w:rFonts w:hint="eastAsia" w:ascii="宋体" w:hAnsi="宋体"/>
                <w:sz w:val="24"/>
              </w:rPr>
            </w:pPr>
          </w:p>
        </w:tc>
        <w:tc>
          <w:tcPr>
            <w:tcW w:w="323"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3"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hint="eastAsia" w:ascii="宋体" w:hAnsi="宋体"/>
                <w:sz w:val="24"/>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22" w:type="dxa"/>
          </w:tcPr>
          <w:p>
            <w:pPr>
              <w:rPr>
                <w:rFonts w:ascii="宋体"/>
                <w:sz w:val="18"/>
              </w:rPr>
            </w:pPr>
          </w:p>
        </w:tc>
        <w:tc>
          <w:tcPr>
            <w:tcW w:w="335" w:type="dxa"/>
            <w:gridSpan w:val="2"/>
          </w:tcPr>
          <w:p>
            <w:pPr>
              <w:rPr>
                <w:rFonts w:ascii="宋体"/>
                <w:sz w:val="18"/>
              </w:rPr>
            </w:pPr>
          </w:p>
        </w:tc>
      </w:tr>
      <w:bookmarkEnd w:id="77"/>
    </w:tbl>
    <w:p>
      <w:pPr>
        <w:pStyle w:val="56"/>
        <w:ind w:firstLine="0" w:firstLineChars="0"/>
        <w:jc w:val="center"/>
      </w:pPr>
      <w:bookmarkStart w:id="84" w:name="BookMark8"/>
      <w:r>
        <w:drawing>
          <wp:inline distT="0" distB="0" distL="0" distR="0">
            <wp:extent cx="1485900" cy="317500"/>
            <wp:effectExtent l="0" t="0" r="0" b="6350"/>
            <wp:docPr id="1260026098" name="图片 1"/>
            <wp:cNvGraphicFramePr/>
            <a:graphic xmlns:a="http://schemas.openxmlformats.org/drawingml/2006/main">
              <a:graphicData uri="http://schemas.openxmlformats.org/drawingml/2006/picture">
                <pic:pic xmlns:pic="http://schemas.openxmlformats.org/drawingml/2006/picture">
                  <pic:nvPicPr>
                    <pic:cNvPr id="1260026098"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1184—XXXX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1184—XXXX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73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84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0B55DC2"/>
    <w:multiLevelType w:val="multilevel"/>
    <w:tmpl w:val="60B55DC2"/>
    <w:lvl w:ilvl="0" w:tentative="0">
      <w:start w:val="1"/>
      <w:numFmt w:val="upperLetter"/>
      <w:pStyle w:val="239"/>
      <w:lvlText w:val="%1"/>
      <w:lvlJc w:val="left"/>
      <w:pPr>
        <w:tabs>
          <w:tab w:val="left" w:pos="0"/>
        </w:tabs>
        <w:ind w:left="0" w:hanging="425"/>
      </w:pPr>
      <w:rPr>
        <w:rFonts w:hint="eastAsia"/>
      </w:rPr>
    </w:lvl>
    <w:lvl w:ilvl="1" w:tentative="0">
      <w:start w:val="1"/>
      <w:numFmt w:val="decimal"/>
      <w:pStyle w:val="24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attachedTemplate r:id="rId1"/>
  <w:documentProtection w:edit="forms" w:enforcement="1" w:cryptProviderType="rsaAES" w:cryptAlgorithmClass="hash" w:cryptAlgorithmType="typeAny" w:cryptAlgorithmSid="14" w:cryptSpinCount="100000" w:hash="0FYV9vVAMV6dFVVsrzh/Clc8hzRlpR2smdr9ITGshyc8/3RL/DhEEEWZvKZJn3ZpOsunWOMeISfMnOv+pjkrcg==" w:salt="QIS3VQKn9vP1Pzs4hAW2c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yODY4ZWU3ZjBkZWY4NjExMGVjMzQyNWMyNjlkYjgifQ=="/>
  </w:docVars>
  <w:rsids>
    <w:rsidRoot w:val="00FD504C"/>
    <w:rsid w:val="0000040A"/>
    <w:rsid w:val="00000A94"/>
    <w:rsid w:val="00001972"/>
    <w:rsid w:val="00001D9A"/>
    <w:rsid w:val="00007B3A"/>
    <w:rsid w:val="000107E0"/>
    <w:rsid w:val="00011FDE"/>
    <w:rsid w:val="00012FFD"/>
    <w:rsid w:val="00014162"/>
    <w:rsid w:val="00014340"/>
    <w:rsid w:val="000168FE"/>
    <w:rsid w:val="00016A9C"/>
    <w:rsid w:val="00022184"/>
    <w:rsid w:val="00022762"/>
    <w:rsid w:val="000238E0"/>
    <w:rsid w:val="000249DB"/>
    <w:rsid w:val="00024C48"/>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7EB"/>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5D6"/>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DB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4190"/>
    <w:rsid w:val="001B71D0"/>
    <w:rsid w:val="001B71EE"/>
    <w:rsid w:val="001C0303"/>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6D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A67"/>
    <w:rsid w:val="003B5BF0"/>
    <w:rsid w:val="003B60BF"/>
    <w:rsid w:val="003B6BE3"/>
    <w:rsid w:val="003C010C"/>
    <w:rsid w:val="003C0A6C"/>
    <w:rsid w:val="003C14F8"/>
    <w:rsid w:val="003C3040"/>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482"/>
    <w:rsid w:val="00407D39"/>
    <w:rsid w:val="0041477A"/>
    <w:rsid w:val="00415964"/>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3CC"/>
    <w:rsid w:val="004746B1"/>
    <w:rsid w:val="0047583F"/>
    <w:rsid w:val="00475DE8"/>
    <w:rsid w:val="00481C44"/>
    <w:rsid w:val="00484936"/>
    <w:rsid w:val="00485C89"/>
    <w:rsid w:val="00486BE3"/>
    <w:rsid w:val="004905E4"/>
    <w:rsid w:val="00490A89"/>
    <w:rsid w:val="00490AB4"/>
    <w:rsid w:val="00492E33"/>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6D49"/>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4CE"/>
    <w:rsid w:val="00543BDA"/>
    <w:rsid w:val="005441CC"/>
    <w:rsid w:val="0054484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B47"/>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906"/>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833"/>
    <w:rsid w:val="00675830"/>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4145"/>
    <w:rsid w:val="006F03A8"/>
    <w:rsid w:val="006F2ACA"/>
    <w:rsid w:val="006F2ADC"/>
    <w:rsid w:val="006F2BFE"/>
    <w:rsid w:val="006F31E9"/>
    <w:rsid w:val="006F6284"/>
    <w:rsid w:val="007002C5"/>
    <w:rsid w:val="00703198"/>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B97"/>
    <w:rsid w:val="007959E8"/>
    <w:rsid w:val="00795E9C"/>
    <w:rsid w:val="007A0521"/>
    <w:rsid w:val="007A2E12"/>
    <w:rsid w:val="007A3475"/>
    <w:rsid w:val="007A41C8"/>
    <w:rsid w:val="007A54CE"/>
    <w:rsid w:val="007A5753"/>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E5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0A0"/>
    <w:rsid w:val="00823303"/>
    <w:rsid w:val="008233B2"/>
    <w:rsid w:val="00823A9F"/>
    <w:rsid w:val="00823C85"/>
    <w:rsid w:val="00825138"/>
    <w:rsid w:val="008269DD"/>
    <w:rsid w:val="00830621"/>
    <w:rsid w:val="0083348C"/>
    <w:rsid w:val="008373D3"/>
    <w:rsid w:val="00840617"/>
    <w:rsid w:val="00840F84"/>
    <w:rsid w:val="00842A47"/>
    <w:rsid w:val="00843C13"/>
    <w:rsid w:val="00844F6B"/>
    <w:rsid w:val="008454F8"/>
    <w:rsid w:val="0085173A"/>
    <w:rsid w:val="00855E96"/>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5CC"/>
    <w:rsid w:val="009305B5"/>
    <w:rsid w:val="009429D5"/>
    <w:rsid w:val="00942BF1"/>
    <w:rsid w:val="00945180"/>
    <w:rsid w:val="00945428"/>
    <w:rsid w:val="0094607B"/>
    <w:rsid w:val="009467D1"/>
    <w:rsid w:val="00953604"/>
    <w:rsid w:val="0095496B"/>
    <w:rsid w:val="009610DC"/>
    <w:rsid w:val="00961490"/>
    <w:rsid w:val="0096381A"/>
    <w:rsid w:val="00964F78"/>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13A"/>
    <w:rsid w:val="00AE070A"/>
    <w:rsid w:val="00AE101C"/>
    <w:rsid w:val="00AE37E5"/>
    <w:rsid w:val="00AE5EB4"/>
    <w:rsid w:val="00AF0C18"/>
    <w:rsid w:val="00AF2160"/>
    <w:rsid w:val="00AF47C5"/>
    <w:rsid w:val="00AF5398"/>
    <w:rsid w:val="00B049AF"/>
    <w:rsid w:val="00B07242"/>
    <w:rsid w:val="00B10534"/>
    <w:rsid w:val="00B113DB"/>
    <w:rsid w:val="00B11D8A"/>
    <w:rsid w:val="00B12981"/>
    <w:rsid w:val="00B147DD"/>
    <w:rsid w:val="00B156FD"/>
    <w:rsid w:val="00B159D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5B0C"/>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133C"/>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0C17"/>
    <w:rsid w:val="00D4162B"/>
    <w:rsid w:val="00D44225"/>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809"/>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121"/>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8CE"/>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97B"/>
    <w:rsid w:val="00EE54A6"/>
    <w:rsid w:val="00EE613F"/>
    <w:rsid w:val="00EE7295"/>
    <w:rsid w:val="00EE7869"/>
    <w:rsid w:val="00EF054A"/>
    <w:rsid w:val="00EF3235"/>
    <w:rsid w:val="00EF7E72"/>
    <w:rsid w:val="00F06B21"/>
    <w:rsid w:val="00F06D37"/>
    <w:rsid w:val="00F07B9D"/>
    <w:rsid w:val="00F11586"/>
    <w:rsid w:val="00F1183B"/>
    <w:rsid w:val="00F11C9F"/>
    <w:rsid w:val="00F12263"/>
    <w:rsid w:val="00F1409D"/>
    <w:rsid w:val="00F14214"/>
    <w:rsid w:val="00F157A9"/>
    <w:rsid w:val="00F169BC"/>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617"/>
    <w:rsid w:val="00F71E22"/>
    <w:rsid w:val="00F72142"/>
    <w:rsid w:val="00F72AE7"/>
    <w:rsid w:val="00F80C9C"/>
    <w:rsid w:val="00F81141"/>
    <w:rsid w:val="00F833BA"/>
    <w:rsid w:val="00F84FD0"/>
    <w:rsid w:val="00F859A8"/>
    <w:rsid w:val="00F85F62"/>
    <w:rsid w:val="00F86D87"/>
    <w:rsid w:val="00F9108B"/>
    <w:rsid w:val="00F91349"/>
    <w:rsid w:val="00F93A8A"/>
    <w:rsid w:val="00F95248"/>
    <w:rsid w:val="00F956A9"/>
    <w:rsid w:val="00F963ED"/>
    <w:rsid w:val="00F966CF"/>
    <w:rsid w:val="00F96CAE"/>
    <w:rsid w:val="00F97C99"/>
    <w:rsid w:val="00FA024A"/>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04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03FAE"/>
    <w:rsid w:val="21DB4904"/>
    <w:rsid w:val="27CE239B"/>
    <w:rsid w:val="42E11BBC"/>
    <w:rsid w:val="453C2457"/>
    <w:rsid w:val="60193217"/>
    <w:rsid w:val="72A74FA6"/>
    <w:rsid w:val="72E35587"/>
    <w:rsid w:val="7DCB3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正文1"/>
    <w:autoRedefine/>
    <w:uiPriority w:val="0"/>
    <w:pPr>
      <w:ind w:left="420" w:leftChars="200"/>
      <w:jc w:val="both"/>
    </w:pPr>
    <w:rPr>
      <w:rFonts w:ascii="Calibri" w:hAnsi="Calibri" w:eastAsia="宋体" w:cs="Calibri"/>
      <w:kern w:val="2"/>
      <w:sz w:val="21"/>
      <w:szCs w:val="21"/>
      <w:lang w:val="en-US" w:eastAsia="zh-CN" w:bidi="ar-SA"/>
    </w:rPr>
  </w:style>
  <w:style w:type="paragraph" w:customStyle="1" w:styleId="231">
    <w:name w:val="段"/>
    <w:basedOn w:val="1"/>
    <w:link w:val="232"/>
    <w:autoRedefine/>
    <w:uiPriority w:val="0"/>
    <w:pPr>
      <w:widowControl/>
      <w:autoSpaceDE w:val="0"/>
      <w:autoSpaceDN w:val="0"/>
      <w:adjustRightInd/>
      <w:spacing w:line="240" w:lineRule="auto"/>
      <w:ind w:firstLine="420" w:firstLineChars="200"/>
    </w:pPr>
    <w:rPr>
      <w:rFonts w:ascii="宋体" w:hAnsi="宋体"/>
      <w:kern w:val="0"/>
    </w:rPr>
  </w:style>
  <w:style w:type="character" w:customStyle="1" w:styleId="232">
    <w:name w:val="段 Char"/>
    <w:basedOn w:val="28"/>
    <w:link w:val="231"/>
    <w:autoRedefine/>
    <w:uiPriority w:val="0"/>
    <w:rPr>
      <w:rFonts w:ascii="宋体" w:hAnsi="宋体"/>
      <w:sz w:val="21"/>
      <w:szCs w:val="21"/>
    </w:rPr>
  </w:style>
  <w:style w:type="paragraph" w:customStyle="1" w:styleId="233">
    <w:name w:val="一级条标题"/>
    <w:next w:val="231"/>
    <w:autoRedefine/>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章标题"/>
    <w:next w:val="231"/>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231"/>
    <w:autoRedefine/>
    <w:uiPriority w:val="0"/>
    <w:pPr>
      <w:numPr>
        <w:ilvl w:val="2"/>
      </w:numPr>
      <w:spacing w:before="50" w:after="50"/>
      <w:outlineLvl w:val="3"/>
    </w:pPr>
  </w:style>
  <w:style w:type="paragraph" w:customStyle="1" w:styleId="236">
    <w:name w:val="三级条标题"/>
    <w:basedOn w:val="235"/>
    <w:next w:val="231"/>
    <w:autoRedefine/>
    <w:qFormat/>
    <w:uiPriority w:val="0"/>
    <w:pPr>
      <w:numPr>
        <w:ilvl w:val="3"/>
      </w:numPr>
      <w:outlineLvl w:val="4"/>
    </w:pPr>
  </w:style>
  <w:style w:type="paragraph" w:customStyle="1" w:styleId="237">
    <w:name w:val="四级条标题"/>
    <w:basedOn w:val="236"/>
    <w:next w:val="231"/>
    <w:autoRedefine/>
    <w:qFormat/>
    <w:uiPriority w:val="0"/>
    <w:pPr>
      <w:numPr>
        <w:ilvl w:val="4"/>
      </w:numPr>
      <w:outlineLvl w:val="5"/>
    </w:pPr>
  </w:style>
  <w:style w:type="paragraph" w:customStyle="1" w:styleId="238">
    <w:name w:val="五级条标题"/>
    <w:basedOn w:val="237"/>
    <w:next w:val="231"/>
    <w:autoRedefine/>
    <w:qFormat/>
    <w:uiPriority w:val="0"/>
    <w:pPr>
      <w:numPr>
        <w:ilvl w:val="5"/>
      </w:numPr>
      <w:outlineLvl w:val="6"/>
    </w:pPr>
  </w:style>
  <w:style w:type="paragraph" w:customStyle="1" w:styleId="239">
    <w:name w:val="附录表标号"/>
    <w:basedOn w:val="1"/>
    <w:next w:val="231"/>
    <w:autoRedefine/>
    <w:uiPriority w:val="0"/>
    <w:pPr>
      <w:numPr>
        <w:ilvl w:val="0"/>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240">
    <w:name w:val="附录表标题"/>
    <w:basedOn w:val="1"/>
    <w:next w:val="231"/>
    <w:uiPriority w:val="0"/>
    <w:pPr>
      <w:numPr>
        <w:ilvl w:val="1"/>
        <w:numId w:val="33"/>
      </w:numPr>
      <w:tabs>
        <w:tab w:val="left" w:pos="180"/>
      </w:tabs>
      <w:adjustRightInd/>
      <w:spacing w:before="50" w:beforeLines="50" w:after="50" w:afterLines="50" w:line="240" w:lineRule="auto"/>
      <w:ind w:left="0" w:firstLine="0"/>
      <w:jc w:val="center"/>
    </w:pPr>
    <w:rPr>
      <w:rFonts w:ascii="黑体" w:hAnsi="Times New Roman" w:eastAsia="黑体"/>
    </w:rPr>
  </w:style>
  <w:style w:type="paragraph" w:customStyle="1" w:styleId="241">
    <w:name w:val="终结线"/>
    <w:basedOn w:val="1"/>
    <w:uiPriority w:val="0"/>
    <w:pPr>
      <w:framePr w:hSpace="181" w:vSpace="181" w:wrap="around" w:vAnchor="text" w:hAnchor="margin" w:xAlign="center" w:y="285"/>
      <w:adjustRightInd/>
      <w:spacing w:line="240" w:lineRule="auto"/>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F7E08C163D24B97BE9F6A95E98B9F33"/>
        <w:style w:val=""/>
        <w:category>
          <w:name w:val="常规"/>
          <w:gallery w:val="placeholder"/>
        </w:category>
        <w:types>
          <w:type w:val="bbPlcHdr"/>
        </w:types>
        <w:behaviors>
          <w:behavior w:val="content"/>
        </w:behaviors>
        <w:description w:val=""/>
        <w:guid w:val="{975A3451-B305-42E9-8B15-1633856FC8F5}"/>
      </w:docPartPr>
      <w:docPartBody>
        <w:p>
          <w:pPr>
            <w:pStyle w:val="5"/>
            <w:rPr>
              <w:rFonts w:hint="eastAsia"/>
            </w:rPr>
          </w:pPr>
          <w:r>
            <w:rPr>
              <w:rStyle w:val="4"/>
              <w:rFonts w:hint="eastAsia"/>
            </w:rPr>
            <w:t>单击或点击此处输入文字。</w:t>
          </w:r>
        </w:p>
      </w:docPartBody>
    </w:docPart>
    <w:docPart>
      <w:docPartPr>
        <w:name w:val="90FC5014FBE44E51AE96612BBA5BCA1F"/>
        <w:style w:val=""/>
        <w:category>
          <w:name w:val="常规"/>
          <w:gallery w:val="placeholder"/>
        </w:category>
        <w:types>
          <w:type w:val="bbPlcHdr"/>
        </w:types>
        <w:behaviors>
          <w:behavior w:val="content"/>
        </w:behaviors>
        <w:description w:val=""/>
        <w:guid w:val="{4C71A0F6-3F34-4549-9319-A6DF807DDF10}"/>
      </w:docPartPr>
      <w:docPartBody>
        <w:p>
          <w:pPr>
            <w:pStyle w:val="6"/>
            <w:rPr>
              <w:rFonts w:hint="eastAsia"/>
            </w:rPr>
          </w:pPr>
          <w:r>
            <w:rPr>
              <w:rStyle w:val="4"/>
              <w:rFonts w:hint="eastAsia"/>
            </w:rPr>
            <w:t>选择一项。</w:t>
          </w:r>
        </w:p>
      </w:docPartBody>
    </w:docPart>
    <w:docPart>
      <w:docPartPr>
        <w:name w:val="C2F30EFDCBE74C2F9EBC825C9FEB0533"/>
        <w:style w:val=""/>
        <w:category>
          <w:name w:val="常规"/>
          <w:gallery w:val="placeholder"/>
        </w:category>
        <w:types>
          <w:type w:val="bbPlcHdr"/>
        </w:types>
        <w:behaviors>
          <w:behavior w:val="content"/>
        </w:behaviors>
        <w:description w:val=""/>
        <w:guid w:val="{595B0514-6445-402D-A405-43BCB2C9E580}"/>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9F4"/>
    <w:rsid w:val="00134D60"/>
    <w:rsid w:val="00147DB3"/>
    <w:rsid w:val="001E1CBA"/>
    <w:rsid w:val="005E3098"/>
    <w:rsid w:val="006D28B7"/>
    <w:rsid w:val="00782605"/>
    <w:rsid w:val="007A5753"/>
    <w:rsid w:val="007F1A51"/>
    <w:rsid w:val="0086022E"/>
    <w:rsid w:val="009070F4"/>
    <w:rsid w:val="0097571F"/>
    <w:rsid w:val="009F4090"/>
    <w:rsid w:val="00C027D7"/>
    <w:rsid w:val="00D62F1E"/>
    <w:rsid w:val="00DA4FC7"/>
    <w:rsid w:val="00F5464D"/>
    <w:rsid w:val="00F860DC"/>
    <w:rsid w:val="00FB2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F7E08C163D24B97BE9F6A95E98B9F3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0FC5014FBE44E51AE96612BBA5BCA1F"/>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C2F30EFDCBE74C2F9EBC825C9FEB0533"/>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43C805-1B56-4184-8ED5-83827A74304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4023</Words>
  <Characters>4258</Characters>
  <Lines>41</Lines>
  <Paragraphs>11</Paragraphs>
  <TotalTime>154</TotalTime>
  <ScaleCrop>false</ScaleCrop>
  <LinksUpToDate>false</LinksUpToDate>
  <CharactersWithSpaces>4403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2024-01-15T00:42:00Z</dcterms:created>
  <dc:creator>yulu_</dc:creator>
  <dc:description>&lt;config cover="true" show_menu="true" version="1.0.0" doctype="SDKXY"&gt;_x000d_
&lt;/config&gt;</dc:description>
  <cp:lastModifiedBy>露</cp:lastModifiedBy>
  <cp:lastPrinted>2024-08-02T06:55:00Z</cp:lastPrinted>
  <dcterms:modified xsi:type="dcterms:W3CDTF">2024-08-02T07:28:05Z</dcterms:modified>
  <dc:title>地方标准</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B2BA9838D4BA40DEBDCFE9A1BF73B08F_12</vt:lpwstr>
  </property>
</Properties>
</file>